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80" w:rsidRPr="0068324C" w:rsidRDefault="00F81C80" w:rsidP="00150BEC">
      <w:pPr>
        <w:jc w:val="center"/>
        <w:rPr>
          <w:b/>
          <w:sz w:val="29"/>
          <w:szCs w:val="29"/>
        </w:rPr>
      </w:pPr>
    </w:p>
    <w:p w:rsidR="009B34B2" w:rsidRPr="0068324C" w:rsidRDefault="009B34B2" w:rsidP="00150BEC">
      <w:pPr>
        <w:jc w:val="center"/>
        <w:rPr>
          <w:b/>
          <w:sz w:val="29"/>
          <w:szCs w:val="29"/>
        </w:rPr>
      </w:pPr>
      <w:r w:rsidRPr="0068324C">
        <w:rPr>
          <w:b/>
          <w:noProof/>
          <w:sz w:val="29"/>
          <w:szCs w:val="29"/>
          <w:lang w:eastAsia="cs-CZ"/>
        </w:rPr>
        <w:drawing>
          <wp:inline distT="0" distB="0" distL="0" distR="0">
            <wp:extent cx="1760099" cy="647375"/>
            <wp:effectExtent l="19050" t="0" r="0" b="0"/>
            <wp:docPr id="2" name="Obrázek 0" descr="tuson_C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on_C9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968" cy="64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2" w:rsidRPr="0068324C" w:rsidRDefault="000E25A8" w:rsidP="00A0285F">
      <w:pPr>
        <w:jc w:val="center"/>
        <w:rPr>
          <w:b/>
          <w:sz w:val="34"/>
          <w:szCs w:val="34"/>
        </w:rPr>
      </w:pPr>
      <w:r w:rsidRPr="0068324C">
        <w:rPr>
          <w:b/>
          <w:sz w:val="34"/>
          <w:szCs w:val="34"/>
        </w:rPr>
        <w:t>Jednofázová svářečka</w:t>
      </w:r>
      <w:r w:rsidR="00A0285F" w:rsidRPr="0068324C">
        <w:rPr>
          <w:b/>
          <w:sz w:val="34"/>
          <w:szCs w:val="34"/>
        </w:rPr>
        <w:t xml:space="preserve"> </w:t>
      </w:r>
      <w:r w:rsidR="00F600E1" w:rsidRPr="0068324C">
        <w:rPr>
          <w:b/>
          <w:sz w:val="34"/>
          <w:szCs w:val="34"/>
        </w:rPr>
        <w:t xml:space="preserve">LIBRA </w:t>
      </w:r>
      <w:r w:rsidR="00161B48">
        <w:rPr>
          <w:b/>
          <w:sz w:val="34"/>
          <w:szCs w:val="34"/>
        </w:rPr>
        <w:t>135/</w:t>
      </w:r>
      <w:r w:rsidR="00F600E1" w:rsidRPr="0068324C">
        <w:rPr>
          <w:b/>
          <w:sz w:val="34"/>
          <w:szCs w:val="34"/>
        </w:rPr>
        <w:t>160</w:t>
      </w:r>
      <w:r w:rsidR="00161B48">
        <w:rPr>
          <w:b/>
          <w:sz w:val="34"/>
          <w:szCs w:val="34"/>
        </w:rPr>
        <w:t>/200</w:t>
      </w:r>
      <w:r w:rsidR="00F600E1" w:rsidRPr="0068324C">
        <w:rPr>
          <w:b/>
          <w:sz w:val="34"/>
          <w:szCs w:val="34"/>
        </w:rPr>
        <w:t xml:space="preserve"> C</w:t>
      </w:r>
    </w:p>
    <w:p w:rsidR="00F35A79" w:rsidRPr="0068324C" w:rsidRDefault="009767FD" w:rsidP="00A0285F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lang w:eastAsia="cs-CZ"/>
        </w:rPr>
        <w:drawing>
          <wp:inline distT="0" distB="0" distL="0" distR="0">
            <wp:extent cx="3854515" cy="4673600"/>
            <wp:effectExtent l="19050" t="0" r="0" b="0"/>
            <wp:docPr id="1" name="Obrázek 0" descr="libra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_16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515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79" w:rsidRPr="0068324C" w:rsidRDefault="00F35A79" w:rsidP="00A0285F">
      <w:pPr>
        <w:jc w:val="center"/>
        <w:rPr>
          <w:b/>
          <w:sz w:val="34"/>
          <w:szCs w:val="34"/>
        </w:rPr>
      </w:pPr>
    </w:p>
    <w:p w:rsidR="00F35A79" w:rsidRPr="0068324C" w:rsidRDefault="00F35A79" w:rsidP="00A0285F">
      <w:pPr>
        <w:jc w:val="center"/>
        <w:rPr>
          <w:b/>
          <w:sz w:val="34"/>
          <w:szCs w:val="34"/>
        </w:rPr>
      </w:pPr>
    </w:p>
    <w:p w:rsidR="000E233F" w:rsidRPr="00531CFA" w:rsidRDefault="00150BEC" w:rsidP="000E233F">
      <w:pPr>
        <w:jc w:val="center"/>
        <w:rPr>
          <w:b/>
          <w:sz w:val="24"/>
          <w:szCs w:val="24"/>
        </w:rPr>
      </w:pPr>
      <w:r w:rsidRPr="00531CFA">
        <w:rPr>
          <w:b/>
          <w:sz w:val="24"/>
          <w:szCs w:val="24"/>
        </w:rPr>
        <w:t>Návod k</w:t>
      </w:r>
      <w:r w:rsidR="00AA068B" w:rsidRPr="00531CFA">
        <w:rPr>
          <w:b/>
          <w:sz w:val="24"/>
          <w:szCs w:val="24"/>
        </w:rPr>
        <w:t> </w:t>
      </w:r>
      <w:r w:rsidRPr="00531CFA">
        <w:rPr>
          <w:b/>
          <w:sz w:val="24"/>
          <w:szCs w:val="24"/>
        </w:rPr>
        <w:t>použití</w:t>
      </w:r>
    </w:p>
    <w:p w:rsidR="000E233F" w:rsidRPr="001C1D97" w:rsidRDefault="003A395D" w:rsidP="00F35A79">
      <w:pPr>
        <w:rPr>
          <w:b/>
          <w:noProof/>
          <w:sz w:val="21"/>
          <w:szCs w:val="21"/>
          <w:lang w:eastAsia="cs-CZ"/>
        </w:rPr>
      </w:pPr>
      <w:r w:rsidRPr="0068324C">
        <w:rPr>
          <w:b/>
          <w:sz w:val="20"/>
          <w:szCs w:val="20"/>
        </w:rPr>
        <w:t xml:space="preserve">       </w:t>
      </w:r>
      <w:r w:rsidR="0008608A" w:rsidRPr="0068324C">
        <w:rPr>
          <w:rFonts w:ascii="Arial" w:hAnsi="Arial" w:cs="Arial"/>
          <w:b/>
          <w:sz w:val="15"/>
          <w:szCs w:val="15"/>
        </w:rPr>
        <w:t>OBSAH</w:t>
      </w:r>
    </w:p>
    <w:p w:rsidR="0008608A" w:rsidRPr="0068324C" w:rsidRDefault="0008608A" w:rsidP="00161B48">
      <w:pPr>
        <w:spacing w:after="0"/>
        <w:rPr>
          <w:b/>
          <w:noProof/>
          <w:sz w:val="27"/>
          <w:szCs w:val="27"/>
          <w:lang w:eastAsia="cs-CZ"/>
        </w:rPr>
      </w:pPr>
      <w:proofErr w:type="gramStart"/>
      <w:r w:rsidRPr="0068324C">
        <w:rPr>
          <w:rFonts w:ascii="Arial" w:hAnsi="Arial" w:cs="Arial"/>
          <w:b/>
          <w:sz w:val="15"/>
          <w:szCs w:val="15"/>
        </w:rPr>
        <w:t xml:space="preserve">1.0     </w:t>
      </w:r>
      <w:r w:rsidR="00C44B1D" w:rsidRPr="0068324C">
        <w:rPr>
          <w:rFonts w:ascii="Arial" w:hAnsi="Arial" w:cs="Arial"/>
          <w:b/>
          <w:sz w:val="15"/>
          <w:szCs w:val="15"/>
        </w:rPr>
        <w:t xml:space="preserve">  </w:t>
      </w:r>
      <w:r w:rsidRPr="0068324C">
        <w:rPr>
          <w:rFonts w:ascii="Arial" w:hAnsi="Arial" w:cs="Arial"/>
          <w:b/>
          <w:sz w:val="15"/>
          <w:szCs w:val="15"/>
        </w:rPr>
        <w:t>TECHNICKÝ</w:t>
      </w:r>
      <w:proofErr w:type="gramEnd"/>
      <w:r w:rsidRPr="0068324C">
        <w:rPr>
          <w:rFonts w:ascii="Arial" w:hAnsi="Arial" w:cs="Arial"/>
          <w:b/>
          <w:sz w:val="15"/>
          <w:szCs w:val="15"/>
        </w:rPr>
        <w:t xml:space="preserve"> POPIS </w:t>
      </w:r>
      <w:r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070E" w:rsidRPr="0068324C">
        <w:rPr>
          <w:rFonts w:ascii="Arial" w:hAnsi="Arial" w:cs="Arial"/>
          <w:b/>
          <w:sz w:val="15"/>
          <w:szCs w:val="15"/>
        </w:rPr>
        <w:tab/>
      </w:r>
      <w:r w:rsidR="0068324C" w:rsidRPr="0068324C">
        <w:rPr>
          <w:rFonts w:ascii="Arial" w:hAnsi="Arial" w:cs="Arial"/>
          <w:b/>
          <w:sz w:val="15"/>
          <w:szCs w:val="15"/>
        </w:rPr>
        <w:tab/>
      </w:r>
      <w:r w:rsidR="00C44B1D" w:rsidRPr="0068324C">
        <w:rPr>
          <w:rFonts w:ascii="Arial" w:hAnsi="Arial" w:cs="Arial"/>
          <w:b/>
          <w:sz w:val="15"/>
          <w:szCs w:val="15"/>
        </w:rPr>
        <w:t>3</w:t>
      </w:r>
    </w:p>
    <w:p w:rsidR="0008608A" w:rsidRPr="0068324C" w:rsidRDefault="0068070E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  <w:r w:rsidRPr="0068324C">
        <w:rPr>
          <w:rFonts w:ascii="Arial" w:hAnsi="Arial" w:cs="Arial"/>
          <w:color w:val="auto"/>
          <w:sz w:val="15"/>
          <w:szCs w:val="15"/>
        </w:rPr>
        <w:t xml:space="preserve">  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8608A" w:rsidRPr="0068324C">
        <w:rPr>
          <w:rFonts w:ascii="Arial" w:hAnsi="Arial" w:cs="Arial"/>
          <w:color w:val="auto"/>
          <w:sz w:val="15"/>
          <w:szCs w:val="15"/>
        </w:rPr>
        <w:t>1.1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POPIS 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  <w:t xml:space="preserve"> 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3</w:t>
      </w:r>
    </w:p>
    <w:p w:rsidR="0008608A" w:rsidRPr="0068324C" w:rsidRDefault="0068070E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  <w:r w:rsidRPr="0068324C">
        <w:rPr>
          <w:rFonts w:ascii="Arial" w:hAnsi="Arial" w:cs="Arial"/>
          <w:color w:val="auto"/>
          <w:sz w:val="15"/>
          <w:szCs w:val="15"/>
        </w:rPr>
        <w:t xml:space="preserve">  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8608A" w:rsidRPr="0068324C">
        <w:rPr>
          <w:rFonts w:ascii="Arial" w:hAnsi="Arial" w:cs="Arial"/>
          <w:color w:val="auto"/>
          <w:sz w:val="15"/>
          <w:szCs w:val="15"/>
        </w:rPr>
        <w:t>1.2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TECHNICKÉ PARAMETRY 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3</w:t>
      </w:r>
    </w:p>
    <w:p w:rsidR="0008608A" w:rsidRPr="0068324C" w:rsidRDefault="0068070E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  <w:r w:rsidRPr="0068324C">
        <w:rPr>
          <w:rFonts w:ascii="Arial" w:hAnsi="Arial" w:cs="Arial"/>
          <w:color w:val="auto"/>
          <w:sz w:val="15"/>
          <w:szCs w:val="15"/>
        </w:rPr>
        <w:t xml:space="preserve">  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8608A" w:rsidRPr="0068324C">
        <w:rPr>
          <w:rFonts w:ascii="Arial" w:hAnsi="Arial" w:cs="Arial"/>
          <w:color w:val="auto"/>
          <w:sz w:val="15"/>
          <w:szCs w:val="15"/>
        </w:rPr>
        <w:t>1.3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PRACOVNÍ CYKLUS A PŘEHŘÁTÍ 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3</w:t>
      </w:r>
    </w:p>
    <w:p w:rsidR="00D2779B" w:rsidRPr="0068324C" w:rsidRDefault="0068070E" w:rsidP="00D2779B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8"/>
        </w:rPr>
      </w:pPr>
      <w:r w:rsidRPr="0068324C">
        <w:rPr>
          <w:rFonts w:ascii="Arial" w:hAnsi="Arial" w:cs="Arial"/>
          <w:color w:val="auto"/>
          <w:sz w:val="15"/>
          <w:szCs w:val="15"/>
        </w:rPr>
        <w:t xml:space="preserve">  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8608A" w:rsidRPr="0068324C">
        <w:rPr>
          <w:rFonts w:ascii="Arial" w:hAnsi="Arial" w:cs="Arial"/>
          <w:color w:val="auto"/>
          <w:sz w:val="15"/>
          <w:szCs w:val="15"/>
        </w:rPr>
        <w:t>1.4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VOLT-AMPÉROVÉ CHARAKTERISTIKY </w:t>
      </w:r>
      <w:r w:rsidR="0008608A"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4"/>
          <w:szCs w:val="14"/>
        </w:rPr>
        <w:tab/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3</w:t>
      </w:r>
    </w:p>
    <w:p w:rsidR="001C1D97" w:rsidRDefault="001C1D97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</w:p>
    <w:p w:rsidR="0008608A" w:rsidRPr="0068324C" w:rsidRDefault="0008608A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  <w:proofErr w:type="gramStart"/>
      <w:r w:rsidRPr="0068324C">
        <w:rPr>
          <w:rFonts w:ascii="Arial" w:hAnsi="Arial" w:cs="Arial"/>
          <w:color w:val="auto"/>
          <w:sz w:val="15"/>
          <w:szCs w:val="15"/>
        </w:rPr>
        <w:t xml:space="preserve">2.0    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</w:t>
      </w:r>
      <w:r w:rsidRPr="0068324C">
        <w:rPr>
          <w:rFonts w:ascii="Arial" w:hAnsi="Arial" w:cs="Arial"/>
          <w:color w:val="auto"/>
          <w:sz w:val="15"/>
          <w:szCs w:val="15"/>
        </w:rPr>
        <w:t>INSTALACE</w:t>
      </w:r>
      <w:proofErr w:type="gramEnd"/>
      <w:r w:rsidRPr="0068324C">
        <w:rPr>
          <w:rFonts w:ascii="Arial" w:hAnsi="Arial" w:cs="Arial"/>
          <w:color w:val="auto"/>
          <w:sz w:val="15"/>
          <w:szCs w:val="15"/>
        </w:rPr>
        <w:t xml:space="preserve"> </w:t>
      </w:r>
      <w:r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ab/>
        <w:t>3</w:t>
      </w:r>
    </w:p>
    <w:p w:rsidR="0008608A" w:rsidRPr="0068324C" w:rsidRDefault="0008608A" w:rsidP="00DA0010">
      <w:pPr>
        <w:pStyle w:val="Nadpis1"/>
        <w:keepLines w:val="0"/>
        <w:spacing w:before="0" w:line="240" w:lineRule="auto"/>
        <w:ind w:firstLine="708"/>
        <w:rPr>
          <w:rFonts w:ascii="Arial" w:hAnsi="Arial" w:cs="Arial"/>
          <w:color w:val="auto"/>
          <w:sz w:val="15"/>
          <w:szCs w:val="15"/>
        </w:rPr>
      </w:pPr>
      <w:r w:rsidRPr="0068324C">
        <w:rPr>
          <w:rFonts w:ascii="Arial" w:hAnsi="Arial" w:cs="Arial"/>
          <w:color w:val="auto"/>
          <w:sz w:val="15"/>
          <w:szCs w:val="15"/>
        </w:rPr>
        <w:t>2.1</w:t>
      </w:r>
      <w:r w:rsidRPr="0068324C">
        <w:rPr>
          <w:rFonts w:ascii="Arial" w:hAnsi="Arial" w:cs="Arial"/>
          <w:color w:val="auto"/>
          <w:sz w:val="15"/>
          <w:szCs w:val="15"/>
        </w:rPr>
        <w:tab/>
        <w:t xml:space="preserve">PŘIPOJENÍ SVÁŘEČKY K NAPÁJECÍ SÍTI </w:t>
      </w:r>
      <w:r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C44B1D" w:rsidRPr="0068324C">
        <w:rPr>
          <w:rFonts w:ascii="Arial" w:hAnsi="Arial" w:cs="Arial"/>
          <w:color w:val="auto"/>
          <w:sz w:val="15"/>
          <w:szCs w:val="15"/>
        </w:rPr>
        <w:t xml:space="preserve">               </w:t>
      </w:r>
      <w:r w:rsidR="00D2779B" w:rsidRPr="0068324C">
        <w:rPr>
          <w:rFonts w:ascii="Arial" w:hAnsi="Arial" w:cs="Arial"/>
          <w:color w:val="auto"/>
          <w:sz w:val="15"/>
          <w:szCs w:val="15"/>
        </w:rPr>
        <w:t xml:space="preserve">                              </w:t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D2779B" w:rsidRPr="0068324C">
        <w:rPr>
          <w:rFonts w:ascii="Arial" w:hAnsi="Arial" w:cs="Arial"/>
          <w:color w:val="auto"/>
          <w:sz w:val="15"/>
          <w:szCs w:val="15"/>
        </w:rPr>
        <w:tab/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3</w:t>
      </w:r>
    </w:p>
    <w:p w:rsidR="0008608A" w:rsidRPr="0068324C" w:rsidRDefault="0008608A" w:rsidP="00161B48">
      <w:pPr>
        <w:pStyle w:val="Nadpis1"/>
        <w:keepLines w:val="0"/>
        <w:spacing w:before="0" w:line="240" w:lineRule="auto"/>
        <w:ind w:left="1413" w:hanging="705"/>
        <w:rPr>
          <w:rFonts w:ascii="Arial" w:hAnsi="Arial" w:cs="Arial"/>
          <w:color w:val="auto"/>
          <w:sz w:val="15"/>
          <w:szCs w:val="15"/>
        </w:rPr>
      </w:pPr>
      <w:r w:rsidRPr="0068324C">
        <w:rPr>
          <w:rFonts w:ascii="Arial" w:hAnsi="Arial" w:cs="Arial"/>
          <w:color w:val="auto"/>
          <w:sz w:val="15"/>
          <w:szCs w:val="15"/>
        </w:rPr>
        <w:t>2.2</w:t>
      </w:r>
      <w:r w:rsidRPr="0068324C">
        <w:rPr>
          <w:rFonts w:ascii="Arial" w:hAnsi="Arial" w:cs="Arial"/>
          <w:color w:val="auto"/>
          <w:sz w:val="15"/>
          <w:szCs w:val="15"/>
        </w:rPr>
        <w:tab/>
        <w:t>ZAPOJENÍ A PŘÍPRAVA ZAŘÍZENÍ PRO SVÁŘENÍ</w:t>
      </w:r>
    </w:p>
    <w:p w:rsidR="001C1D97" w:rsidRDefault="001C1D97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</w:p>
    <w:p w:rsidR="0008608A" w:rsidRPr="0068324C" w:rsidRDefault="0008608A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  <w:proofErr w:type="gramStart"/>
      <w:r w:rsidRPr="0068324C">
        <w:rPr>
          <w:rFonts w:ascii="Arial" w:hAnsi="Arial" w:cs="Arial"/>
          <w:color w:val="auto"/>
          <w:sz w:val="15"/>
          <w:szCs w:val="15"/>
        </w:rPr>
        <w:t>3.0     FUNKCE</w:t>
      </w:r>
      <w:proofErr w:type="gramEnd"/>
      <w:r w:rsidRPr="0068324C">
        <w:rPr>
          <w:rFonts w:ascii="Arial" w:hAnsi="Arial" w:cs="Arial"/>
          <w:color w:val="auto"/>
          <w:sz w:val="15"/>
          <w:szCs w:val="15"/>
        </w:rPr>
        <w:t xml:space="preserve"> </w:t>
      </w:r>
      <w:r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4</w:t>
      </w:r>
    </w:p>
    <w:p w:rsidR="0008608A" w:rsidRPr="0068324C" w:rsidRDefault="0008608A" w:rsidP="00DA0010">
      <w:pPr>
        <w:pStyle w:val="Nadpis1"/>
        <w:keepLines w:val="0"/>
        <w:spacing w:before="0" w:line="240" w:lineRule="auto"/>
        <w:ind w:firstLine="708"/>
        <w:rPr>
          <w:rFonts w:ascii="Arial" w:hAnsi="Arial" w:cs="Arial"/>
          <w:color w:val="auto"/>
          <w:sz w:val="15"/>
          <w:szCs w:val="15"/>
        </w:rPr>
      </w:pPr>
      <w:proofErr w:type="gramStart"/>
      <w:r w:rsidRPr="0068324C">
        <w:rPr>
          <w:rFonts w:ascii="Arial" w:hAnsi="Arial" w:cs="Arial"/>
          <w:color w:val="auto"/>
          <w:sz w:val="15"/>
          <w:szCs w:val="15"/>
        </w:rPr>
        <w:t>3.1     PŘEDNÍ</w:t>
      </w:r>
      <w:proofErr w:type="gramEnd"/>
      <w:r w:rsidRPr="0068324C">
        <w:rPr>
          <w:rFonts w:ascii="Arial" w:hAnsi="Arial" w:cs="Arial"/>
          <w:color w:val="auto"/>
          <w:sz w:val="15"/>
          <w:szCs w:val="15"/>
        </w:rPr>
        <w:t xml:space="preserve"> PANEL - ZADNÍ PANEL </w:t>
      </w:r>
      <w:r w:rsidRPr="0068324C">
        <w:rPr>
          <w:rFonts w:ascii="Arial" w:hAnsi="Arial" w:cs="Arial"/>
          <w:color w:val="auto"/>
          <w:sz w:val="15"/>
          <w:szCs w:val="15"/>
        </w:rPr>
        <w:tab/>
        <w:t xml:space="preserve"> </w:t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C44B1D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68324C" w:rsidRPr="0068324C">
        <w:rPr>
          <w:rFonts w:ascii="Arial" w:hAnsi="Arial" w:cs="Arial"/>
          <w:color w:val="auto"/>
          <w:sz w:val="15"/>
          <w:szCs w:val="15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4</w:t>
      </w:r>
    </w:p>
    <w:p w:rsidR="001C1D97" w:rsidRDefault="001C1D97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5"/>
          <w:szCs w:val="15"/>
        </w:rPr>
      </w:pPr>
    </w:p>
    <w:p w:rsidR="0008608A" w:rsidRPr="0068324C" w:rsidRDefault="0008608A" w:rsidP="00DA0010">
      <w:pPr>
        <w:pStyle w:val="Nadpis1"/>
        <w:keepLines w:val="0"/>
        <w:spacing w:before="0" w:line="240" w:lineRule="auto"/>
        <w:rPr>
          <w:rFonts w:ascii="Arial" w:hAnsi="Arial" w:cs="Arial"/>
          <w:color w:val="auto"/>
          <w:sz w:val="14"/>
          <w:szCs w:val="14"/>
        </w:rPr>
      </w:pPr>
      <w:proofErr w:type="gramStart"/>
      <w:r w:rsidRPr="0068324C">
        <w:rPr>
          <w:rFonts w:ascii="Arial" w:hAnsi="Arial" w:cs="Arial"/>
          <w:color w:val="auto"/>
          <w:sz w:val="15"/>
          <w:szCs w:val="15"/>
        </w:rPr>
        <w:t>4.0     ÚDRŽBA</w:t>
      </w:r>
      <w:proofErr w:type="gramEnd"/>
      <w:r w:rsidRPr="0068324C">
        <w:rPr>
          <w:rFonts w:ascii="Arial" w:hAnsi="Arial" w:cs="Arial"/>
          <w:color w:val="auto"/>
          <w:sz w:val="15"/>
          <w:szCs w:val="15"/>
        </w:rPr>
        <w:t xml:space="preserve"> </w:t>
      </w:r>
      <w:r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5"/>
          <w:szCs w:val="15"/>
        </w:rPr>
        <w:tab/>
      </w:r>
      <w:r w:rsidR="000E233F" w:rsidRPr="0068324C">
        <w:rPr>
          <w:rFonts w:ascii="Arial" w:hAnsi="Arial" w:cs="Arial"/>
          <w:color w:val="auto"/>
          <w:sz w:val="14"/>
          <w:szCs w:val="14"/>
        </w:rPr>
        <w:tab/>
      </w:r>
      <w:r w:rsidR="000E233F" w:rsidRPr="0068324C">
        <w:rPr>
          <w:rFonts w:ascii="Arial" w:hAnsi="Arial" w:cs="Arial"/>
          <w:color w:val="auto"/>
          <w:sz w:val="14"/>
          <w:szCs w:val="14"/>
        </w:rPr>
        <w:tab/>
      </w:r>
      <w:r w:rsidR="00161B48">
        <w:rPr>
          <w:rFonts w:ascii="Arial" w:hAnsi="Arial" w:cs="Arial"/>
          <w:color w:val="auto"/>
          <w:sz w:val="15"/>
          <w:szCs w:val="15"/>
        </w:rPr>
        <w:t>4</w:t>
      </w:r>
    </w:p>
    <w:p w:rsidR="0068324C" w:rsidRPr="0068324C" w:rsidRDefault="0068324C" w:rsidP="004F6CD0">
      <w:pPr>
        <w:rPr>
          <w:sz w:val="17"/>
          <w:szCs w:val="17"/>
        </w:rPr>
      </w:pPr>
    </w:p>
    <w:p w:rsidR="00D006A1" w:rsidRDefault="00D006A1" w:rsidP="004F6CD0">
      <w:pPr>
        <w:rPr>
          <w:b/>
          <w:sz w:val="15"/>
          <w:szCs w:val="15"/>
        </w:rPr>
      </w:pPr>
    </w:p>
    <w:p w:rsidR="001C1D97" w:rsidRDefault="001C1D97" w:rsidP="004F6CD0">
      <w:pPr>
        <w:rPr>
          <w:b/>
          <w:sz w:val="15"/>
          <w:szCs w:val="15"/>
        </w:rPr>
      </w:pPr>
    </w:p>
    <w:p w:rsidR="004F6CD0" w:rsidRPr="0068324C" w:rsidRDefault="004F6CD0" w:rsidP="004F6CD0">
      <w:pPr>
        <w:rPr>
          <w:b/>
          <w:sz w:val="15"/>
          <w:szCs w:val="15"/>
        </w:rPr>
      </w:pPr>
      <w:r w:rsidRPr="0068324C">
        <w:rPr>
          <w:b/>
          <w:sz w:val="15"/>
          <w:szCs w:val="15"/>
        </w:rPr>
        <w:t>Bezpečnostní pokyny</w:t>
      </w:r>
    </w:p>
    <w:p w:rsidR="004F6CD0" w:rsidRPr="0068324C" w:rsidRDefault="004F6CD0" w:rsidP="004F6CD0">
      <w:pPr>
        <w:rPr>
          <w:sz w:val="12"/>
          <w:szCs w:val="12"/>
        </w:rPr>
      </w:pPr>
      <w:r w:rsidRPr="0068324C">
        <w:rPr>
          <w:sz w:val="12"/>
          <w:szCs w:val="12"/>
        </w:rPr>
        <w:t>POZOR před samotným uvedením přístroje do provozu, prací se strojem nebo servisem stroje, pozorně prostudujte tento návod a dodržujte bezpečnostní pokyny</w:t>
      </w:r>
    </w:p>
    <w:p w:rsidR="004F6CD0" w:rsidRPr="0068324C" w:rsidRDefault="004F6CD0" w:rsidP="004F6CD0">
      <w:pPr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Připojení ke zdroji elektrické energie</w:t>
      </w:r>
    </w:p>
    <w:p w:rsidR="004F6CD0" w:rsidRPr="0068324C" w:rsidRDefault="004F6CD0" w:rsidP="004F6CD0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Tento svařovací invertor musí být uveden do provozu kvalifikovaným pracovníkem v závislosti na místních bezpečnostních předpisech</w:t>
      </w:r>
    </w:p>
    <w:p w:rsidR="004F6CD0" w:rsidRPr="0068324C" w:rsidRDefault="004F6CD0" w:rsidP="004F6CD0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Nikdy se nedotýkejte elektrický</w:t>
      </w:r>
      <w:r w:rsidR="00675585" w:rsidRPr="0068324C">
        <w:rPr>
          <w:sz w:val="12"/>
          <w:szCs w:val="12"/>
        </w:rPr>
        <w:t>ch</w:t>
      </w:r>
      <w:r w:rsidRPr="0068324C">
        <w:rPr>
          <w:sz w:val="12"/>
          <w:szCs w:val="12"/>
        </w:rPr>
        <w:t xml:space="preserve"> částí výrobku, které jsou pod proudem nebo elektrod holou kůží, rukavicemi nebo mokrým oděvem.</w:t>
      </w:r>
    </w:p>
    <w:p w:rsidR="004F6CD0" w:rsidRPr="0068324C" w:rsidRDefault="004F6CD0" w:rsidP="004F6CD0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Ujistěte se</w:t>
      </w:r>
      <w:r w:rsidR="00675585" w:rsidRPr="0068324C">
        <w:rPr>
          <w:sz w:val="12"/>
          <w:szCs w:val="12"/>
        </w:rPr>
        <w:t>,</w:t>
      </w:r>
      <w:r w:rsidRPr="0068324C">
        <w:rPr>
          <w:sz w:val="12"/>
          <w:szCs w:val="12"/>
        </w:rPr>
        <w:t xml:space="preserve"> že používáte uzemnění při pracovním procesu</w:t>
      </w:r>
    </w:p>
    <w:p w:rsidR="004F6CD0" w:rsidRPr="0068324C" w:rsidRDefault="004F6CD0" w:rsidP="004F6CD0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Nikdy nepoužívejte stroj na vlhké či mokré ploše</w:t>
      </w:r>
    </w:p>
    <w:p w:rsidR="004F6CD0" w:rsidRPr="0068324C" w:rsidRDefault="004F6CD0" w:rsidP="004F6CD0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Nikdy</w:t>
      </w:r>
      <w:r w:rsidR="00603764" w:rsidRPr="0068324C">
        <w:rPr>
          <w:sz w:val="12"/>
          <w:szCs w:val="12"/>
        </w:rPr>
        <w:t xml:space="preserve"> nepoužívejte stroj, který má poškozené </w:t>
      </w:r>
      <w:proofErr w:type="gramStart"/>
      <w:r w:rsidR="00603764" w:rsidRPr="0068324C">
        <w:rPr>
          <w:sz w:val="12"/>
          <w:szCs w:val="12"/>
        </w:rPr>
        <w:t>kabely . Okamžitě</w:t>
      </w:r>
      <w:proofErr w:type="gramEnd"/>
      <w:r w:rsidR="00603764" w:rsidRPr="0068324C">
        <w:rPr>
          <w:sz w:val="12"/>
          <w:szCs w:val="12"/>
        </w:rPr>
        <w:t xml:space="preserve"> kabely vyměňte při podezření , že jsou poškozené.</w:t>
      </w:r>
    </w:p>
    <w:p w:rsidR="00603764" w:rsidRPr="0068324C" w:rsidRDefault="00603764" w:rsidP="00603764">
      <w:pPr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Pracovní prostředí</w:t>
      </w:r>
    </w:p>
    <w:p w:rsidR="00603764" w:rsidRPr="0068324C" w:rsidRDefault="00603764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Před začátkem pracovního procesu se ujistěte, že prostor je kvalitně ventilovaný a nehrozí zamoření prostředí škodlivými plyny vznikajícími při procesu sváření. Pokud budete pracovat v nevětraném prostředí, použijte dýchací respirátor</w:t>
      </w:r>
      <w:r w:rsidR="00675585" w:rsidRPr="0068324C">
        <w:rPr>
          <w:sz w:val="12"/>
          <w:szCs w:val="12"/>
        </w:rPr>
        <w:t xml:space="preserve"> </w:t>
      </w:r>
      <w:r w:rsidRPr="0068324C">
        <w:rPr>
          <w:sz w:val="12"/>
          <w:szCs w:val="12"/>
        </w:rPr>
        <w:t>(správný model proberte u specializovaného prodejce ochranných prostředků).</w:t>
      </w:r>
    </w:p>
    <w:p w:rsidR="00603764" w:rsidRPr="0068324C" w:rsidRDefault="00603764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 xml:space="preserve">Vždy používejte svářecí helmu nebo ochranné svářečské brýle se správným stupněm </w:t>
      </w:r>
      <w:proofErr w:type="spellStart"/>
      <w:proofErr w:type="gramStart"/>
      <w:r w:rsidRPr="0068324C">
        <w:rPr>
          <w:sz w:val="12"/>
          <w:szCs w:val="12"/>
        </w:rPr>
        <w:t>zatmavení</w:t>
      </w:r>
      <w:proofErr w:type="spellEnd"/>
      <w:r w:rsidR="00675585" w:rsidRPr="0068324C">
        <w:rPr>
          <w:sz w:val="12"/>
          <w:szCs w:val="12"/>
        </w:rPr>
        <w:t xml:space="preserve"> </w:t>
      </w:r>
      <w:r w:rsidRPr="0068324C">
        <w:rPr>
          <w:sz w:val="12"/>
          <w:szCs w:val="12"/>
        </w:rPr>
        <w:t xml:space="preserve"> DIN</w:t>
      </w:r>
      <w:proofErr w:type="gramEnd"/>
      <w:r w:rsidRPr="0068324C">
        <w:rPr>
          <w:sz w:val="12"/>
          <w:szCs w:val="12"/>
        </w:rPr>
        <w:t>. V případě nejistoty se poraďte s odborníky!</w:t>
      </w:r>
    </w:p>
    <w:p w:rsidR="00603764" w:rsidRPr="0068324C" w:rsidRDefault="00603764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 xml:space="preserve">Vždy používejte ochranné pracovní prostředky jako jsou ochranné svářečské rukavice a svářečský oblek či  svářečskou </w:t>
      </w:r>
      <w:proofErr w:type="gramStart"/>
      <w:r w:rsidRPr="0068324C">
        <w:rPr>
          <w:sz w:val="12"/>
          <w:szCs w:val="12"/>
        </w:rPr>
        <w:t>zástěru</w:t>
      </w:r>
      <w:proofErr w:type="gramEnd"/>
      <w:r w:rsidRPr="0068324C">
        <w:rPr>
          <w:sz w:val="12"/>
          <w:szCs w:val="12"/>
        </w:rPr>
        <w:t>.</w:t>
      </w:r>
    </w:p>
    <w:p w:rsidR="00603764" w:rsidRPr="0068324C" w:rsidRDefault="00603764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Nikdy nepracujte ve výbušném prostředí! Vždy odstraňte hořlaviny z okolí svařovacího procesu.</w:t>
      </w:r>
    </w:p>
    <w:p w:rsidR="00603764" w:rsidRPr="0068324C" w:rsidRDefault="00603764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>Pokud pracujete v hlučném prostředí, použijte adekvátní ochranu sluchu</w:t>
      </w:r>
    </w:p>
    <w:p w:rsidR="00603764" w:rsidRPr="0068324C" w:rsidRDefault="000C5C5E" w:rsidP="00603764">
      <w:pPr>
        <w:pStyle w:val="Odstavecseseznamem"/>
        <w:numPr>
          <w:ilvl w:val="0"/>
          <w:numId w:val="12"/>
        </w:numPr>
        <w:rPr>
          <w:sz w:val="12"/>
          <w:szCs w:val="12"/>
        </w:rPr>
      </w:pPr>
      <w:r w:rsidRPr="0068324C">
        <w:rPr>
          <w:sz w:val="12"/>
          <w:szCs w:val="12"/>
        </w:rPr>
        <w:t xml:space="preserve">Vždy </w:t>
      </w:r>
      <w:r w:rsidR="00D72C38" w:rsidRPr="0068324C">
        <w:rPr>
          <w:sz w:val="12"/>
          <w:szCs w:val="12"/>
        </w:rPr>
        <w:t>překontrolujte a citlivě manipulujte regulátory a nástavci.</w:t>
      </w:r>
    </w:p>
    <w:p w:rsidR="00D72C38" w:rsidRPr="0068324C" w:rsidRDefault="00D72C38" w:rsidP="00D72C38">
      <w:pPr>
        <w:pStyle w:val="Odstavecseseznamem"/>
        <w:rPr>
          <w:sz w:val="12"/>
          <w:szCs w:val="12"/>
        </w:rPr>
      </w:pPr>
    </w:p>
    <w:p w:rsidR="00F81C80" w:rsidRPr="0068324C" w:rsidRDefault="00D72C38" w:rsidP="00F81C80">
      <w:pPr>
        <w:pStyle w:val="Odstavecseseznamem"/>
        <w:rPr>
          <w:sz w:val="12"/>
          <w:szCs w:val="12"/>
        </w:rPr>
      </w:pPr>
      <w:r w:rsidRPr="0068324C">
        <w:rPr>
          <w:sz w:val="12"/>
          <w:szCs w:val="12"/>
        </w:rPr>
        <w:t>Tento stroj může uvést do provozu, obsluhovat, pracovat a opravovat pouze kvalifikovaná osoba!</w:t>
      </w:r>
    </w:p>
    <w:p w:rsidR="000D1458" w:rsidRPr="00161B48" w:rsidRDefault="009B7FFB" w:rsidP="00A0285F">
      <w:pPr>
        <w:spacing w:after="0"/>
        <w:jc w:val="both"/>
        <w:rPr>
          <w:rFonts w:cs="Arial"/>
          <w:sz w:val="12"/>
          <w:szCs w:val="12"/>
        </w:rPr>
      </w:pPr>
      <w:r w:rsidRPr="00161B48">
        <w:rPr>
          <w:b/>
          <w:sz w:val="12"/>
          <w:szCs w:val="12"/>
        </w:rPr>
        <w:t>Určení stroje:</w:t>
      </w:r>
      <w:r w:rsidR="00F81C80" w:rsidRPr="00161B48">
        <w:rPr>
          <w:b/>
          <w:sz w:val="12"/>
          <w:szCs w:val="12"/>
        </w:rPr>
        <w:t xml:space="preserve"> </w:t>
      </w:r>
      <w:r w:rsidR="000D1458" w:rsidRPr="00161B48">
        <w:rPr>
          <w:rFonts w:cs="Arial"/>
          <w:b/>
          <w:sz w:val="12"/>
          <w:szCs w:val="12"/>
        </w:rPr>
        <w:t xml:space="preserve">Libra </w:t>
      </w:r>
      <w:r w:rsidR="00161B48" w:rsidRPr="00161B48">
        <w:rPr>
          <w:rFonts w:cs="Arial"/>
          <w:b/>
          <w:sz w:val="12"/>
          <w:szCs w:val="12"/>
        </w:rPr>
        <w:t>135|</w:t>
      </w:r>
      <w:r w:rsidR="000D1458" w:rsidRPr="00161B48">
        <w:rPr>
          <w:rFonts w:cs="Arial"/>
          <w:b/>
          <w:sz w:val="12"/>
          <w:szCs w:val="12"/>
        </w:rPr>
        <w:t xml:space="preserve">160|200 C </w:t>
      </w:r>
      <w:proofErr w:type="gramStart"/>
      <w:r w:rsidR="000D1458" w:rsidRPr="00161B48">
        <w:rPr>
          <w:rFonts w:cs="Arial"/>
          <w:b/>
          <w:sz w:val="12"/>
          <w:szCs w:val="12"/>
        </w:rPr>
        <w:t>jsou 1-fázové</w:t>
      </w:r>
      <w:proofErr w:type="gramEnd"/>
      <w:r w:rsidR="000D1458" w:rsidRPr="00161B48">
        <w:rPr>
          <w:rFonts w:cs="Arial"/>
          <w:b/>
          <w:sz w:val="12"/>
          <w:szCs w:val="12"/>
        </w:rPr>
        <w:t xml:space="preserve"> vzduchem chlazené svářečky pro MIG/MAG a MMA </w:t>
      </w:r>
    </w:p>
    <w:p w:rsidR="0068324C" w:rsidRPr="00161B48" w:rsidRDefault="00691C29" w:rsidP="0068324C">
      <w:pPr>
        <w:spacing w:after="0"/>
        <w:jc w:val="both"/>
        <w:rPr>
          <w:rFonts w:cs="Arial"/>
          <w:b/>
          <w:sz w:val="12"/>
          <w:szCs w:val="12"/>
        </w:rPr>
      </w:pPr>
      <w:r w:rsidRPr="00161B48">
        <w:rPr>
          <w:rFonts w:cs="Arial"/>
          <w:b/>
          <w:sz w:val="12"/>
          <w:szCs w:val="12"/>
        </w:rPr>
        <w:t>Vhodné pro použití v </w:t>
      </w:r>
      <w:proofErr w:type="gramStart"/>
      <w:r w:rsidRPr="00161B48">
        <w:rPr>
          <w:rFonts w:cs="Arial"/>
          <w:b/>
          <w:sz w:val="12"/>
          <w:szCs w:val="12"/>
        </w:rPr>
        <w:t>DIY</w:t>
      </w:r>
      <w:proofErr w:type="gramEnd"/>
      <w:r w:rsidRPr="00161B48">
        <w:rPr>
          <w:rFonts w:cs="Arial"/>
          <w:b/>
          <w:sz w:val="12"/>
          <w:szCs w:val="12"/>
        </w:rPr>
        <w:t>,</w:t>
      </w:r>
      <w:r w:rsidR="000D1458" w:rsidRPr="00161B48">
        <w:rPr>
          <w:rFonts w:cs="Arial"/>
          <w:b/>
          <w:sz w:val="12"/>
          <w:szCs w:val="12"/>
        </w:rPr>
        <w:t xml:space="preserve"> pro údržbu a servis</w:t>
      </w:r>
      <w:r w:rsidRPr="00161B48">
        <w:rPr>
          <w:rFonts w:cs="Arial"/>
          <w:b/>
          <w:sz w:val="12"/>
          <w:szCs w:val="12"/>
        </w:rPr>
        <w:t>.</w:t>
      </w:r>
    </w:p>
    <w:p w:rsidR="0068324C" w:rsidRPr="0068324C" w:rsidRDefault="00FB29D0" w:rsidP="0068324C">
      <w:pPr>
        <w:spacing w:after="0"/>
        <w:jc w:val="both"/>
        <w:rPr>
          <w:rFonts w:cs="Arial"/>
          <w:b/>
          <w:sz w:val="18"/>
          <w:szCs w:val="19"/>
        </w:rPr>
      </w:pPr>
      <w:r w:rsidRPr="0068324C">
        <w:rPr>
          <w:noProof/>
          <w:sz w:val="16"/>
          <w:szCs w:val="16"/>
          <w:lang w:eastAsia="cs-CZ"/>
        </w:rPr>
        <w:t xml:space="preserve">                         </w:t>
      </w:r>
      <w:r w:rsidR="000E233F" w:rsidRPr="0068324C">
        <w:rPr>
          <w:noProof/>
          <w:sz w:val="16"/>
          <w:szCs w:val="16"/>
          <w:lang w:eastAsia="cs-CZ"/>
        </w:rPr>
        <w:t xml:space="preserve">                          </w:t>
      </w:r>
      <w:r w:rsidR="000D1458" w:rsidRPr="0068324C">
        <w:rPr>
          <w:noProof/>
          <w:sz w:val="16"/>
          <w:szCs w:val="16"/>
          <w:lang w:eastAsia="cs-CZ"/>
        </w:rPr>
        <w:drawing>
          <wp:inline distT="0" distB="0" distL="0" distR="0">
            <wp:extent cx="2752725" cy="1625966"/>
            <wp:effectExtent l="19050" t="0" r="9525" b="0"/>
            <wp:docPr id="51" name="Obrázek 50" descr="LIBRA 160 C ovládací 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 160 C ovládací pan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227" cy="16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458" w:rsidRPr="0068324C" w:rsidRDefault="00FD626F" w:rsidP="000D1458">
      <w:pPr>
        <w:rPr>
          <w:noProof/>
          <w:sz w:val="17"/>
          <w:szCs w:val="17"/>
          <w:lang w:eastAsia="cs-CZ"/>
        </w:rPr>
      </w:pPr>
      <w:r w:rsidRPr="0068324C">
        <w:rPr>
          <w:b/>
          <w:sz w:val="12"/>
          <w:szCs w:val="12"/>
        </w:rPr>
        <w:t>Zapojení stroje:</w:t>
      </w:r>
    </w:p>
    <w:p w:rsidR="000D1458" w:rsidRPr="0068324C" w:rsidRDefault="000D1458" w:rsidP="000D1458">
      <w:pPr>
        <w:rPr>
          <w:b/>
          <w:sz w:val="11"/>
          <w:szCs w:val="14"/>
        </w:rPr>
      </w:pPr>
      <w:r w:rsidRPr="0068324C">
        <w:rPr>
          <w:rFonts w:cs="Arial"/>
          <w:b/>
          <w:sz w:val="11"/>
          <w:szCs w:val="14"/>
        </w:rPr>
        <w:t>Připojení k elektrické síti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>Připojení elektrické zástrčky (3) k elektrické síti musí provést kvalifikovaný personál. Svářečku je možno zapínat / vypínat pomocí hlavního vypínače (1). Žlutozelený dvojitý kabel je uzemňovací kabel.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>V případě vzniku lokálních interferencí při použití svářečky připojte pracovní stůl k (2) za použití správného odstupňovaného uzemňovacího vodiče (nikoli běžně používaného vodiče).</w:t>
      </w:r>
    </w:p>
    <w:p w:rsidR="000D1458" w:rsidRPr="0068324C" w:rsidRDefault="000D1458" w:rsidP="000D1458">
      <w:pPr>
        <w:spacing w:after="0"/>
        <w:rPr>
          <w:rFonts w:cs="Arial"/>
          <w:sz w:val="11"/>
          <w:szCs w:val="14"/>
        </w:rPr>
      </w:pPr>
    </w:p>
    <w:p w:rsidR="000D1458" w:rsidRPr="0068324C" w:rsidRDefault="000D1458" w:rsidP="000D1458">
      <w:pPr>
        <w:spacing w:after="0"/>
        <w:rPr>
          <w:rFonts w:cs="Arial"/>
          <w:b/>
          <w:sz w:val="11"/>
          <w:szCs w:val="14"/>
        </w:rPr>
      </w:pPr>
      <w:r w:rsidRPr="0068324C">
        <w:rPr>
          <w:rFonts w:cs="Arial"/>
          <w:b/>
          <w:sz w:val="11"/>
          <w:szCs w:val="14"/>
        </w:rPr>
        <w:t>Připojení ochranného plynu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 xml:space="preserve">Hadici ochranného plynu (2) připojte k plynovému systému včetně reduktoru tlaku plynu s ovládačem průtoku. </w:t>
      </w:r>
    </w:p>
    <w:p w:rsidR="000D1458" w:rsidRPr="0068324C" w:rsidRDefault="000D1458" w:rsidP="000D1458">
      <w:pPr>
        <w:spacing w:after="0"/>
        <w:rPr>
          <w:rFonts w:cs="Arial"/>
          <w:sz w:val="11"/>
          <w:szCs w:val="14"/>
        </w:rPr>
      </w:pPr>
    </w:p>
    <w:p w:rsidR="000D1458" w:rsidRPr="0068324C" w:rsidRDefault="000D1458" w:rsidP="000D1458">
      <w:pPr>
        <w:spacing w:after="0"/>
        <w:rPr>
          <w:rFonts w:cs="Arial"/>
          <w:sz w:val="11"/>
          <w:szCs w:val="14"/>
        </w:rPr>
      </w:pPr>
      <w:r w:rsidRPr="0068324C">
        <w:rPr>
          <w:rFonts w:cs="Arial"/>
          <w:b/>
          <w:sz w:val="11"/>
          <w:szCs w:val="14"/>
        </w:rPr>
        <w:t>Připojení svařovacích kabelů – MIG/MAG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>Komplet svařovací hadice je třeba zasunout do centrální přípojné spojky (5) a matici je třeba dotáhnout ručně. Kabel zpětného proudu je třeba připojit k záporné zásuvce (7).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 xml:space="preserve"> </w:t>
      </w:r>
    </w:p>
    <w:p w:rsidR="000D1458" w:rsidRPr="0068324C" w:rsidRDefault="000D1458" w:rsidP="000D1458">
      <w:pPr>
        <w:spacing w:after="0"/>
        <w:rPr>
          <w:rFonts w:cs="Arial"/>
          <w:sz w:val="11"/>
          <w:szCs w:val="14"/>
        </w:rPr>
      </w:pPr>
      <w:r w:rsidRPr="0068324C">
        <w:rPr>
          <w:rFonts w:cs="Arial"/>
          <w:b/>
          <w:sz w:val="11"/>
          <w:szCs w:val="14"/>
        </w:rPr>
        <w:t>Připojení svařovacích kabelů – bubnová pistole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>Bubnovou pistoli je třeba připojit buď k centrální přípojné spojce (5) nebo k zásuvce bubnové pistole (8). Kabel zpětného proudu je třeba připojit k záporné zásuvce (7).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</w:p>
    <w:p w:rsidR="000D1458" w:rsidRPr="0068324C" w:rsidRDefault="000D1458" w:rsidP="000D1458">
      <w:pPr>
        <w:spacing w:after="0"/>
        <w:rPr>
          <w:rFonts w:cs="Arial"/>
          <w:sz w:val="11"/>
          <w:szCs w:val="14"/>
        </w:rPr>
      </w:pPr>
      <w:r w:rsidRPr="0068324C">
        <w:rPr>
          <w:rFonts w:cs="Arial"/>
          <w:b/>
          <w:sz w:val="11"/>
          <w:szCs w:val="14"/>
        </w:rPr>
        <w:t>Připojení svařovacích kabelů – MMA</w:t>
      </w:r>
    </w:p>
    <w:p w:rsidR="000D1458" w:rsidRPr="0068324C" w:rsidRDefault="000D1458" w:rsidP="000D1458">
      <w:pPr>
        <w:spacing w:after="0"/>
        <w:jc w:val="both"/>
        <w:rPr>
          <w:rFonts w:cs="Arial"/>
          <w:sz w:val="11"/>
          <w:szCs w:val="14"/>
        </w:rPr>
      </w:pPr>
      <w:r w:rsidRPr="0068324C">
        <w:rPr>
          <w:rFonts w:cs="Arial"/>
          <w:sz w:val="11"/>
          <w:szCs w:val="14"/>
        </w:rPr>
        <w:t xml:space="preserve">Držák elektrody a kabel zpětného proudu je třeba připojit k plusové </w:t>
      </w:r>
      <w:proofErr w:type="gramStart"/>
      <w:r w:rsidRPr="0068324C">
        <w:rPr>
          <w:rFonts w:cs="Arial"/>
          <w:sz w:val="11"/>
          <w:szCs w:val="14"/>
        </w:rPr>
        <w:t>zásuvce (6) a  minusové</w:t>
      </w:r>
      <w:proofErr w:type="gramEnd"/>
      <w:r w:rsidRPr="0068324C">
        <w:rPr>
          <w:rFonts w:cs="Arial"/>
          <w:sz w:val="11"/>
          <w:szCs w:val="14"/>
        </w:rPr>
        <w:t xml:space="preserve"> zásuvce (7). Dodržte polaritu uvedenou dodavatelem elektrody.</w:t>
      </w:r>
    </w:p>
    <w:p w:rsidR="0020070C" w:rsidRPr="0020070C" w:rsidRDefault="0020070C" w:rsidP="004C70AF">
      <w:pPr>
        <w:rPr>
          <w:b/>
          <w:sz w:val="16"/>
          <w:szCs w:val="16"/>
        </w:rPr>
      </w:pPr>
      <w:r w:rsidRPr="0020070C">
        <w:rPr>
          <w:b/>
          <w:sz w:val="16"/>
          <w:szCs w:val="16"/>
        </w:rPr>
        <w:t>Pozor!!! Vždy může být zapojen pouze jeden svařovací proces MIG/MAG nebo MMA – nikdy není možné, aby byly zapojeny ve stejné chvíli.</w:t>
      </w:r>
    </w:p>
    <w:p w:rsidR="00C809C1" w:rsidRPr="0068324C" w:rsidRDefault="00C809C1" w:rsidP="004C70AF">
      <w:pPr>
        <w:rPr>
          <w:b/>
          <w:sz w:val="12"/>
          <w:szCs w:val="15"/>
        </w:rPr>
      </w:pPr>
      <w:r w:rsidRPr="0068324C">
        <w:rPr>
          <w:b/>
          <w:sz w:val="15"/>
          <w:szCs w:val="15"/>
        </w:rPr>
        <w:t>Ovládací panel</w:t>
      </w:r>
      <w:r w:rsidR="000E233F" w:rsidRPr="0068324C">
        <w:rPr>
          <w:noProof/>
          <w:sz w:val="12"/>
          <w:szCs w:val="12"/>
          <w:lang w:eastAsia="cs-CZ"/>
        </w:rPr>
        <w:t xml:space="preserve">                                                             </w:t>
      </w:r>
    </w:p>
    <w:p w:rsidR="00531CFA" w:rsidRPr="00531CFA" w:rsidRDefault="0068324C" w:rsidP="004C70AF">
      <w:pPr>
        <w:spacing w:after="0"/>
        <w:ind w:right="-57"/>
        <w:rPr>
          <w:rFonts w:ascii="Arial" w:hAnsi="Arial" w:cs="Arial"/>
          <w:sz w:val="19"/>
          <w:szCs w:val="19"/>
        </w:rPr>
      </w:pPr>
      <w:r w:rsidRPr="0068324C">
        <w:rPr>
          <w:rFonts w:ascii="Arial" w:hAnsi="Arial" w:cs="Arial"/>
          <w:sz w:val="19"/>
          <w:szCs w:val="19"/>
        </w:rPr>
        <w:t xml:space="preserve">                                    </w:t>
      </w:r>
      <w:r w:rsidR="00643226" w:rsidRPr="0068324C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905125" cy="1602455"/>
            <wp:effectExtent l="19050" t="0" r="9525" b="0"/>
            <wp:docPr id="53" name="Obrázek 52" descr="LIBRA 160 C control pane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 160 C control panel 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944" cy="1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1"/>
        <w:gridCol w:w="8126"/>
      </w:tblGrid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42672" distB="11430" distL="163068" distR="177546" simplePos="0" relativeHeight="251684864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114300</wp:posOffset>
                  </wp:positionV>
                  <wp:extent cx="250190" cy="231775"/>
                  <wp:effectExtent l="19050" t="0" r="0" b="0"/>
                  <wp:wrapNone/>
                  <wp:docPr id="70" name="Objec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4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Napájení</w:t>
            </w: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>Signalizuje, zda je napájení zapnuto / vypnuto</w:t>
            </w: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lastRenderedPageBreak/>
              <w:drawing>
                <wp:anchor distT="42672" distB="11430" distL="150876" distR="177546" simplePos="0" relativeHeight="251685888" behindDoc="1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113665</wp:posOffset>
                  </wp:positionV>
                  <wp:extent cx="262255" cy="231775"/>
                  <wp:effectExtent l="19050" t="0" r="4445" b="0"/>
                  <wp:wrapNone/>
                  <wp:docPr id="69" name="Objec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5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color w:val="000000"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Varování</w:t>
            </w:r>
          </w:p>
          <w:p w:rsidR="00531CFA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 xml:space="preserve">Signalizuje problémy se svářečkou, například přehřátí a překročení pracovního cyklu. Nechte svářečku zapnutou, 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>dokud ji zabudovaný ventilátor nevychladí.</w:t>
            </w: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color w:val="000000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68324C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" distB="11049" distL="114300" distR="116205" simplePos="0" relativeHeight="25168384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155575</wp:posOffset>
                  </wp:positionV>
                  <wp:extent cx="466725" cy="400050"/>
                  <wp:effectExtent l="19050" t="0" r="9525" b="0"/>
                  <wp:wrapNone/>
                  <wp:docPr id="67" name="Object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8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F7895"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0" distB="54102" distL="120396" distR="114300" simplePos="0" relativeHeight="251686912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752475</wp:posOffset>
                  </wp:positionV>
                  <wp:extent cx="445135" cy="780415"/>
                  <wp:effectExtent l="19050" t="0" r="0" b="0"/>
                  <wp:wrapNone/>
                  <wp:docPr id="68" name="Objec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7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531CFA" w:rsidRPr="0068324C" w:rsidRDefault="00531CFA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Displej LED - napětí</w:t>
            </w:r>
          </w:p>
          <w:p w:rsidR="00CF7895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  <w:proofErr w:type="gramStart"/>
            <w:r w:rsidRPr="0068324C">
              <w:rPr>
                <w:rFonts w:cs="Arial"/>
                <w:sz w:val="15"/>
                <w:szCs w:val="18"/>
              </w:rPr>
              <w:t>3-ciferný</w:t>
            </w:r>
            <w:proofErr w:type="gramEnd"/>
            <w:r w:rsidRPr="0068324C">
              <w:rPr>
                <w:rFonts w:cs="Arial"/>
                <w:sz w:val="15"/>
                <w:szCs w:val="18"/>
              </w:rPr>
              <w:t xml:space="preserve"> displej zobrazuje nastavené hodnoty napětí a skutečné napětí během svařování.</w:t>
            </w:r>
          </w:p>
          <w:p w:rsidR="00531CFA" w:rsidRPr="0068324C" w:rsidRDefault="00531CFA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B48" w:rsidRDefault="00161B48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161B48" w:rsidRDefault="00161B48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531CFA" w:rsidRDefault="00531CFA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MMA-MIG/MAG</w:t>
            </w: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>Umožňuje volbu režimu svařování.</w:t>
            </w: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5"/>
              </w:rPr>
            </w:pPr>
          </w:p>
          <w:p w:rsidR="0068324C" w:rsidRPr="0068324C" w:rsidRDefault="0068324C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" distB="11049" distL="114300" distR="116205" simplePos="0" relativeHeight="2516879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77470</wp:posOffset>
                  </wp:positionV>
                  <wp:extent cx="504825" cy="419100"/>
                  <wp:effectExtent l="19050" t="0" r="9525" b="0"/>
                  <wp:wrapNone/>
                  <wp:docPr id="66" name="obrázek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tabs>
                <w:tab w:val="left" w:pos="709"/>
                <w:tab w:val="left" w:pos="1134"/>
              </w:tabs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Displej LED - proud</w:t>
            </w:r>
          </w:p>
          <w:p w:rsidR="00CF7895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  <w:proofErr w:type="gramStart"/>
            <w:r w:rsidRPr="0068324C">
              <w:rPr>
                <w:rFonts w:cs="Arial"/>
                <w:sz w:val="15"/>
                <w:szCs w:val="18"/>
              </w:rPr>
              <w:t>3-ciferný</w:t>
            </w:r>
            <w:proofErr w:type="gramEnd"/>
            <w:r w:rsidRPr="0068324C">
              <w:rPr>
                <w:rFonts w:cs="Arial"/>
                <w:sz w:val="15"/>
                <w:szCs w:val="18"/>
              </w:rPr>
              <w:t xml:space="preserve"> displej zobrazuje nastavené hodnoty proudu a skutečný proud během svařování.</w:t>
            </w:r>
          </w:p>
          <w:p w:rsidR="00531CFA" w:rsidRPr="0068324C" w:rsidRDefault="00531CFA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5"/>
              </w:rPr>
            </w:pPr>
          </w:p>
          <w:p w:rsidR="0068324C" w:rsidRPr="0068324C" w:rsidRDefault="0068324C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" distB="24384" distL="291084" distR="299466" simplePos="0" relativeHeight="251689984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76200</wp:posOffset>
                  </wp:positionV>
                  <wp:extent cx="457200" cy="579120"/>
                  <wp:effectExtent l="19050" t="0" r="0" b="0"/>
                  <wp:wrapNone/>
                  <wp:docPr id="65" name="Objec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9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CFA" w:rsidRDefault="00531CFA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531CFA" w:rsidRPr="0068324C" w:rsidRDefault="00531CFA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Napětí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>Nastavení napětí.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" distB="54864" distL="236220" distR="262890" simplePos="0" relativeHeight="25168896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73025</wp:posOffset>
                  </wp:positionV>
                  <wp:extent cx="548640" cy="548640"/>
                  <wp:effectExtent l="19050" t="0" r="3810" b="0"/>
                  <wp:wrapNone/>
                  <wp:docPr id="64" name="Objec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324C" w:rsidRPr="0068324C" w:rsidRDefault="0068324C" w:rsidP="00313989">
            <w:pPr>
              <w:spacing w:after="0" w:line="240" w:lineRule="auto"/>
              <w:ind w:right="-57"/>
              <w:rPr>
                <w:rFonts w:cs="Arial"/>
                <w:b/>
                <w:color w:val="000000"/>
                <w:sz w:val="15"/>
                <w:szCs w:val="15"/>
              </w:rPr>
            </w:pPr>
          </w:p>
          <w:p w:rsidR="00531CFA" w:rsidRDefault="00531CFA" w:rsidP="00313989">
            <w:pPr>
              <w:spacing w:after="0" w:line="240" w:lineRule="auto"/>
              <w:ind w:right="-57"/>
              <w:rPr>
                <w:rFonts w:cs="Arial"/>
                <w:b/>
                <w:color w:val="000000"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b/>
                <w:color w:val="000000"/>
                <w:sz w:val="15"/>
                <w:szCs w:val="18"/>
              </w:rPr>
            </w:pPr>
            <w:r w:rsidRPr="0068324C">
              <w:rPr>
                <w:rFonts w:cs="Arial"/>
                <w:b/>
                <w:color w:val="000000"/>
                <w:sz w:val="15"/>
                <w:szCs w:val="18"/>
              </w:rPr>
              <w:t>Síla oblouku</w:t>
            </w:r>
          </w:p>
          <w:p w:rsidR="00531CFA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color w:val="000000"/>
                <w:sz w:val="15"/>
                <w:szCs w:val="18"/>
              </w:rPr>
            </w:pPr>
            <w:r w:rsidRPr="0068324C">
              <w:rPr>
                <w:rFonts w:cs="Arial"/>
                <w:color w:val="000000"/>
                <w:sz w:val="15"/>
                <w:szCs w:val="18"/>
              </w:rPr>
              <w:t xml:space="preserve">Tato funkce se používá ke stabilizování oblouku během svařování MMA pomocí zvýšení svařovacího proudu během zkratů. 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cs="Arial"/>
                <w:color w:val="000000"/>
                <w:sz w:val="15"/>
                <w:szCs w:val="15"/>
              </w:rPr>
            </w:pPr>
            <w:r w:rsidRPr="0068324C">
              <w:rPr>
                <w:rFonts w:cs="Arial"/>
                <w:color w:val="000000"/>
                <w:sz w:val="15"/>
                <w:szCs w:val="18"/>
              </w:rPr>
              <w:t>Energii oblouku je možno upravovat mezi 0-50% nastavení svařovacího proudu.</w:t>
            </w:r>
          </w:p>
          <w:p w:rsidR="0068324C" w:rsidRPr="0068324C" w:rsidRDefault="0068324C" w:rsidP="00313989">
            <w:pPr>
              <w:spacing w:after="0" w:line="240" w:lineRule="auto"/>
              <w:ind w:right="-57"/>
              <w:jc w:val="both"/>
              <w:rPr>
                <w:rFonts w:cs="Arial"/>
                <w:color w:val="000000"/>
                <w:sz w:val="15"/>
                <w:szCs w:val="18"/>
              </w:rPr>
            </w:pPr>
          </w:p>
        </w:tc>
      </w:tr>
      <w:tr w:rsidR="00CF7895" w:rsidRPr="0068324C" w:rsidTr="00313989">
        <w:tc>
          <w:tcPr>
            <w:tcW w:w="1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24C">
              <w:rPr>
                <w:rFonts w:ascii="Calibri" w:hAnsi="Calibri" w:cs="Times New Roman"/>
                <w:noProof/>
                <w:sz w:val="18"/>
                <w:szCs w:val="18"/>
                <w:lang w:eastAsia="cs-CZ"/>
              </w:rPr>
              <w:drawing>
                <wp:anchor distT="6096" distB="30480" distL="187452" distR="208026" simplePos="0" relativeHeight="251691008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80645</wp:posOffset>
                  </wp:positionV>
                  <wp:extent cx="652145" cy="572770"/>
                  <wp:effectExtent l="19050" t="0" r="0" b="0"/>
                  <wp:wrapNone/>
                  <wp:docPr id="63" name="Objec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531CFA" w:rsidRDefault="00531CFA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b/>
                <w:sz w:val="15"/>
                <w:szCs w:val="18"/>
              </w:rPr>
            </w:pPr>
            <w:r w:rsidRPr="0068324C">
              <w:rPr>
                <w:rFonts w:cs="Arial"/>
                <w:b/>
                <w:sz w:val="15"/>
                <w:szCs w:val="18"/>
              </w:rPr>
              <w:t>Rychlost vodiče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  <w:r w:rsidRPr="0068324C">
              <w:rPr>
                <w:rFonts w:cs="Arial"/>
                <w:sz w:val="15"/>
                <w:szCs w:val="18"/>
              </w:rPr>
              <w:t>Úprava rychlosti vodiče.</w:t>
            </w: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</w:p>
          <w:p w:rsidR="00CF7895" w:rsidRPr="0068324C" w:rsidRDefault="00CF7895" w:rsidP="00313989">
            <w:pPr>
              <w:spacing w:after="0" w:line="240" w:lineRule="auto"/>
              <w:ind w:right="-57"/>
              <w:rPr>
                <w:rFonts w:cs="Arial"/>
                <w:sz w:val="15"/>
                <w:szCs w:val="18"/>
              </w:rPr>
            </w:pPr>
          </w:p>
        </w:tc>
      </w:tr>
    </w:tbl>
    <w:p w:rsidR="004C70AF" w:rsidRPr="0068324C" w:rsidRDefault="004C70AF" w:rsidP="004C70AF">
      <w:pPr>
        <w:rPr>
          <w:sz w:val="12"/>
          <w:szCs w:val="12"/>
        </w:rPr>
      </w:pPr>
    </w:p>
    <w:p w:rsidR="009B7FFB" w:rsidRPr="0068324C" w:rsidRDefault="009B7FFB" w:rsidP="009B7FFB">
      <w:pPr>
        <w:pStyle w:val="Odstavecseseznamem"/>
        <w:numPr>
          <w:ilvl w:val="0"/>
          <w:numId w:val="13"/>
        </w:numPr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Technický popis</w:t>
      </w:r>
    </w:p>
    <w:p w:rsidR="00531CFA" w:rsidRDefault="009B7FFB" w:rsidP="00531CFA">
      <w:pPr>
        <w:pStyle w:val="Odstavecseseznamem"/>
        <w:numPr>
          <w:ilvl w:val="1"/>
          <w:numId w:val="13"/>
        </w:numPr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Popis</w:t>
      </w:r>
    </w:p>
    <w:p w:rsidR="009B7FFB" w:rsidRPr="00531CFA" w:rsidRDefault="009B7FFB" w:rsidP="00531CFA">
      <w:pPr>
        <w:rPr>
          <w:b/>
          <w:sz w:val="12"/>
          <w:szCs w:val="12"/>
        </w:rPr>
      </w:pPr>
      <w:r w:rsidRPr="00531CFA">
        <w:rPr>
          <w:sz w:val="12"/>
          <w:szCs w:val="12"/>
        </w:rPr>
        <w:t>Soupravu tvoří moderní generátor jednosměrného proudu určený na sváření kov</w:t>
      </w:r>
      <w:r w:rsidR="00675585" w:rsidRPr="00531CFA">
        <w:rPr>
          <w:sz w:val="12"/>
          <w:szCs w:val="12"/>
        </w:rPr>
        <w:t>ů</w:t>
      </w:r>
      <w:r w:rsidRPr="00531CFA">
        <w:rPr>
          <w:sz w:val="12"/>
          <w:szCs w:val="12"/>
        </w:rPr>
        <w:t xml:space="preserve"> vyvinutý použitím invertoru. Tato speciální technologie umožňuje stavbu</w:t>
      </w:r>
      <w:r w:rsidR="00C0622B" w:rsidRPr="00531CFA">
        <w:rPr>
          <w:sz w:val="12"/>
          <w:szCs w:val="12"/>
        </w:rPr>
        <w:t xml:space="preserve"> kompaktních generátorů s nízkou hmotností a vysokým výkonem. Vzhledem k jejich schopnosti regulace, účinnosti a energetické spotřebě jsou vynikajícím pracovním nástrojem vhodným na sváření obalenými elektrodami a technologií GTAW(TIG).</w:t>
      </w:r>
    </w:p>
    <w:p w:rsidR="00DA0010" w:rsidRPr="0068324C" w:rsidRDefault="00DA0010" w:rsidP="00FD626F">
      <w:pPr>
        <w:spacing w:after="0"/>
        <w:ind w:firstLine="708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1.2 Technické parametry</w:t>
      </w:r>
    </w:p>
    <w:tbl>
      <w:tblPr>
        <w:tblStyle w:val="Mkatabulky"/>
        <w:tblW w:w="0" w:type="auto"/>
        <w:tblLook w:val="01E0"/>
      </w:tblPr>
      <w:tblGrid>
        <w:gridCol w:w="4068"/>
        <w:gridCol w:w="1800"/>
        <w:gridCol w:w="1800"/>
        <w:gridCol w:w="1544"/>
      </w:tblGrid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200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Vstupní napětí (+/-10%)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 x 230 V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 x 230 V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 x 230 V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Vstupní výkonnost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 xml:space="preserve">3.6 </w:t>
            </w:r>
            <w:proofErr w:type="spellStart"/>
            <w:r w:rsidRPr="00161B48">
              <w:rPr>
                <w:sz w:val="14"/>
                <w:szCs w:val="14"/>
              </w:rPr>
              <w:t>kVA</w:t>
            </w:r>
            <w:proofErr w:type="spellEnd"/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 xml:space="preserve">4.8 </w:t>
            </w:r>
            <w:proofErr w:type="spellStart"/>
            <w:r w:rsidRPr="00161B48">
              <w:rPr>
                <w:sz w:val="14"/>
                <w:szCs w:val="14"/>
              </w:rPr>
              <w:t>kVA</w:t>
            </w:r>
            <w:proofErr w:type="spellEnd"/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 xml:space="preserve">5.5 </w:t>
            </w:r>
            <w:proofErr w:type="spellStart"/>
            <w:r w:rsidRPr="00161B48">
              <w:rPr>
                <w:sz w:val="14"/>
                <w:szCs w:val="14"/>
              </w:rPr>
              <w:t>kVA</w:t>
            </w:r>
            <w:proofErr w:type="spellEnd"/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Rozsah proudu, MIG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25-135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30-160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40-200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Rozsah napětí, MIG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15-21 V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15.5-22.0 V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16.0-24.0 V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Rozsah proudu, MMA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25-100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30-130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40-160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MIG, 35%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135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160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200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MMA, 35%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130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160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MIG, 60%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110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155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MMA, 60%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85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130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MIG, 100%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95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85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120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Pracovní cyklus MMA, 100%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65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77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Průměr vodiče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0.6/0.8 mm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0.6/0.8 mm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0.8/1.0 mm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Cívka vodiče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100/200 mm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100/200 mm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300 mm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Vstupní rychlost vodiče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0.5-15 m/min.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0.5-15 m/min.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0.5-15 m/min.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Síla oblouku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0-10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0-10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0-10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Třída ochrany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IP21S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IP21S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IP21S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Rozměry (D x Š X V)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460 x 230 x 320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460 x 230 x 320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550 x 320 x 360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Hmotnost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14 kg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14 kg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18 kg</w:t>
            </w:r>
          </w:p>
        </w:tc>
      </w:tr>
    </w:tbl>
    <w:p w:rsidR="00531CFA" w:rsidRPr="00161B48" w:rsidRDefault="00161B48" w:rsidP="00161B48"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Použit</w:t>
      </w:r>
      <w:r w:rsidR="00531CFA">
        <w:rPr>
          <w:b/>
          <w:bCs/>
          <w:sz w:val="14"/>
          <w:szCs w:val="14"/>
        </w:rPr>
        <w:t>í</w:t>
      </w:r>
    </w:p>
    <w:tbl>
      <w:tblPr>
        <w:tblStyle w:val="Mkatabulky"/>
        <w:tblW w:w="0" w:type="auto"/>
        <w:tblLook w:val="01E0"/>
      </w:tblPr>
      <w:tblGrid>
        <w:gridCol w:w="4068"/>
        <w:gridCol w:w="1800"/>
        <w:gridCol w:w="1800"/>
        <w:gridCol w:w="1544"/>
      </w:tblGrid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200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DIY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x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x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x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Oprava a údržba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x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x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Průmysl tenkých plechů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Lehký a střední průmysl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Středně těžký a těžký průmysl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Doky a loděnice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31CFA" w:rsidRDefault="00531CFA" w:rsidP="00161B48">
      <w:pPr>
        <w:spacing w:after="0"/>
        <w:rPr>
          <w:b/>
          <w:bCs/>
          <w:sz w:val="14"/>
          <w:szCs w:val="14"/>
        </w:rPr>
      </w:pPr>
    </w:p>
    <w:p w:rsidR="00161B48" w:rsidRPr="00161B48" w:rsidRDefault="00161B48" w:rsidP="00161B48">
      <w:pPr>
        <w:spacing w:after="0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Dodávané příslušenství</w:t>
      </w:r>
    </w:p>
    <w:tbl>
      <w:tblPr>
        <w:tblStyle w:val="Mkatabulky"/>
        <w:tblW w:w="0" w:type="auto"/>
        <w:tblLook w:val="01E0"/>
      </w:tblPr>
      <w:tblGrid>
        <w:gridCol w:w="4068"/>
        <w:gridCol w:w="1800"/>
        <w:gridCol w:w="1800"/>
        <w:gridCol w:w="1544"/>
      </w:tblGrid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b/>
                <w:bCs/>
                <w:sz w:val="14"/>
                <w:szCs w:val="14"/>
              </w:rPr>
            </w:pPr>
            <w:r w:rsidRPr="00161B48">
              <w:rPr>
                <w:b/>
                <w:bCs/>
                <w:sz w:val="14"/>
                <w:szCs w:val="14"/>
              </w:rPr>
              <w:t>200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Svařovací kabel včetně uzemňovací svorky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3M, 300 A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3M, 300 A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3M, 300 A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Hořák MIG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 M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 M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 M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lastRenderedPageBreak/>
              <w:t>Plynová hadice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 M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 M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2 M</w:t>
            </w:r>
          </w:p>
        </w:tc>
      </w:tr>
      <w:tr w:rsidR="00161B48" w:rsidRPr="00161B48" w:rsidTr="00313989">
        <w:tc>
          <w:tcPr>
            <w:tcW w:w="4068" w:type="dxa"/>
          </w:tcPr>
          <w:p w:rsidR="00161B48" w:rsidRPr="00161B48" w:rsidRDefault="00161B48" w:rsidP="00313989">
            <w:pPr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 xml:space="preserve">Výr. </w:t>
            </w:r>
            <w:proofErr w:type="gramStart"/>
            <w:r w:rsidRPr="00161B48">
              <w:rPr>
                <w:sz w:val="14"/>
                <w:szCs w:val="14"/>
              </w:rPr>
              <w:t>č.</w:t>
            </w:r>
            <w:proofErr w:type="gramEnd"/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301111</w:t>
            </w:r>
          </w:p>
        </w:tc>
        <w:tc>
          <w:tcPr>
            <w:tcW w:w="1800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301121</w:t>
            </w:r>
          </w:p>
        </w:tc>
        <w:tc>
          <w:tcPr>
            <w:tcW w:w="1544" w:type="dxa"/>
          </w:tcPr>
          <w:p w:rsidR="00161B48" w:rsidRPr="00161B48" w:rsidRDefault="00161B48" w:rsidP="00313989">
            <w:pPr>
              <w:jc w:val="center"/>
              <w:rPr>
                <w:sz w:val="14"/>
                <w:szCs w:val="14"/>
              </w:rPr>
            </w:pPr>
            <w:r w:rsidRPr="00161B48">
              <w:rPr>
                <w:sz w:val="14"/>
                <w:szCs w:val="14"/>
              </w:rPr>
              <w:t>301131</w:t>
            </w:r>
          </w:p>
        </w:tc>
      </w:tr>
    </w:tbl>
    <w:p w:rsidR="00F81C80" w:rsidRDefault="00F81C80" w:rsidP="00FB29D0">
      <w:pPr>
        <w:rPr>
          <w:sz w:val="14"/>
          <w:szCs w:val="14"/>
        </w:rPr>
      </w:pPr>
    </w:p>
    <w:p w:rsidR="00531CFA" w:rsidRPr="00161B48" w:rsidRDefault="00531CFA" w:rsidP="00FB29D0">
      <w:pPr>
        <w:rPr>
          <w:sz w:val="14"/>
          <w:szCs w:val="14"/>
        </w:rPr>
      </w:pPr>
    </w:p>
    <w:p w:rsidR="00CE1306" w:rsidRPr="0068324C" w:rsidRDefault="00CE1306" w:rsidP="001C1D97">
      <w:pPr>
        <w:pStyle w:val="Odstavecseseznamem"/>
        <w:numPr>
          <w:ilvl w:val="1"/>
          <w:numId w:val="20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Pracovní cyklus a přehřátí</w:t>
      </w:r>
    </w:p>
    <w:p w:rsidR="00CE1306" w:rsidRPr="0068324C" w:rsidRDefault="00CE1306" w:rsidP="001C1D97">
      <w:p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Pracovní cyklus je údaj v % z 10 minut při teplotě okolí 40°C v době kterých jednotka může svářet při jmenovitém výkonu bez přehřátí. Jestli se jednotka přehřeje, výkon se vypne a kontrolka přehřátí se rozsvítí. V takovéto situaci vyčkejte 15 minut, dokud jednotka nevychladne. Snižte proud, napětí nebo omezte pracovní cyklus před začátkem dalšího sváření.</w:t>
      </w:r>
    </w:p>
    <w:p w:rsidR="00531CFA" w:rsidRDefault="00CE1306" w:rsidP="001C1D97">
      <w:pPr>
        <w:pStyle w:val="Odstavecseseznamem"/>
        <w:numPr>
          <w:ilvl w:val="1"/>
          <w:numId w:val="20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Volt – ampérové charakteristiky</w:t>
      </w:r>
    </w:p>
    <w:p w:rsidR="00CE1306" w:rsidRPr="00531CFA" w:rsidRDefault="00CE1306" w:rsidP="001C1D97">
      <w:pPr>
        <w:spacing w:line="240" w:lineRule="auto"/>
        <w:rPr>
          <w:b/>
          <w:sz w:val="12"/>
          <w:szCs w:val="12"/>
        </w:rPr>
      </w:pPr>
      <w:r w:rsidRPr="00531CFA">
        <w:rPr>
          <w:sz w:val="12"/>
          <w:szCs w:val="12"/>
        </w:rPr>
        <w:t>Volt – ampérové charakteristiky ukazují nejvyšší napěťové a proudové výkonové schopnosti svářecího napájecího zdroje. Křivky jiných nastavení patří pod zobrazené křivky.</w:t>
      </w:r>
    </w:p>
    <w:p w:rsidR="00BD4676" w:rsidRPr="0068324C" w:rsidRDefault="00CE1306" w:rsidP="001C1D97">
      <w:pPr>
        <w:pStyle w:val="Odstavecseseznamem"/>
        <w:numPr>
          <w:ilvl w:val="0"/>
          <w:numId w:val="20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Instalace</w:t>
      </w:r>
      <w:r w:rsidR="00BD4676" w:rsidRPr="0068324C">
        <w:rPr>
          <w:b/>
          <w:sz w:val="12"/>
          <w:szCs w:val="12"/>
        </w:rPr>
        <w:t xml:space="preserve"> </w:t>
      </w:r>
    </w:p>
    <w:p w:rsidR="00BD4676" w:rsidRPr="0068324C" w:rsidRDefault="00BD4676" w:rsidP="001C1D97">
      <w:p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Pozor před zapojením a uvedením stroje do provozu je nutno toto důkladně prostudovat a pozorně přečíst bezpečnostní předpisy.</w:t>
      </w:r>
    </w:p>
    <w:p w:rsidR="00BB1226" w:rsidRPr="0068324C" w:rsidRDefault="00BB1226" w:rsidP="001C1D97">
      <w:pPr>
        <w:pStyle w:val="Odstavecseseznamem"/>
        <w:numPr>
          <w:ilvl w:val="1"/>
          <w:numId w:val="21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Připojení svářečky k napájecí síti</w:t>
      </w:r>
    </w:p>
    <w:p w:rsidR="00BB1226" w:rsidRPr="0068324C" w:rsidRDefault="00BB1226" w:rsidP="001C1D97">
      <w:p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Vypnout svářečku v době svářecího procesu, který by mohl zapříčinit její vážné poškození.</w:t>
      </w:r>
    </w:p>
    <w:p w:rsidR="00BB1226" w:rsidRPr="0068324C" w:rsidRDefault="00BB1226" w:rsidP="001C1D97">
      <w:p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Ujistit se, zda zásuvka napájení má tavnou pojistku uvedenou v technické tabulce na generátoru. Všechny modely generátoru mají možnost kompenzovat kolísání sítě. Pro změnu + - 10% se dosáhne kolísání svářecího proudu + - 0,2%.</w:t>
      </w:r>
    </w:p>
    <w:p w:rsidR="00DB2EC1" w:rsidRPr="0068324C" w:rsidRDefault="00BB1226" w:rsidP="001C1D97">
      <w:pPr>
        <w:spacing w:line="240" w:lineRule="auto"/>
        <w:rPr>
          <w:sz w:val="15"/>
          <w:szCs w:val="15"/>
        </w:rPr>
      </w:pPr>
      <w:r w:rsidRPr="0068324C">
        <w:rPr>
          <w:sz w:val="12"/>
          <w:szCs w:val="12"/>
        </w:rPr>
        <w:t>Dříve než se zasune koncovka napájení do zásuvky, je potřebné zkontrolovat, zda se napětí sítě shoduje s požadovaným napájením, zabrání se tím poškození generátoru.</w:t>
      </w:r>
    </w:p>
    <w:p w:rsidR="00BB1226" w:rsidRPr="0068324C" w:rsidRDefault="00BB1226" w:rsidP="001C1D97">
      <w:pPr>
        <w:pStyle w:val="Odstavecseseznamem"/>
        <w:numPr>
          <w:ilvl w:val="1"/>
          <w:numId w:val="21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 xml:space="preserve">Zapojení a </w:t>
      </w:r>
      <w:r w:rsidR="00161B48">
        <w:rPr>
          <w:b/>
          <w:sz w:val="12"/>
          <w:szCs w:val="12"/>
        </w:rPr>
        <w:t xml:space="preserve">příprava zařízení pro sváření </w:t>
      </w:r>
    </w:p>
    <w:p w:rsidR="00BB1226" w:rsidRPr="0068324C" w:rsidRDefault="00BB1226" w:rsidP="001C1D97">
      <w:pPr>
        <w:pStyle w:val="Odstavecseseznamem"/>
        <w:numPr>
          <w:ilvl w:val="0"/>
          <w:numId w:val="12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Před zapojením vypnout svářečku</w:t>
      </w:r>
    </w:p>
    <w:p w:rsidR="00C0622B" w:rsidRPr="0068324C" w:rsidRDefault="00BB1226" w:rsidP="001C1D97">
      <w:p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Svářecí příslušenství </w:t>
      </w:r>
      <w:proofErr w:type="gramStart"/>
      <w:r w:rsidRPr="0068324C">
        <w:rPr>
          <w:sz w:val="12"/>
          <w:szCs w:val="12"/>
        </w:rPr>
        <w:t>zapojit  přesně</w:t>
      </w:r>
      <w:proofErr w:type="gramEnd"/>
      <w:r w:rsidRPr="0068324C">
        <w:rPr>
          <w:sz w:val="12"/>
          <w:szCs w:val="12"/>
        </w:rPr>
        <w:t>, aby se zabránilo ztrátám na výkonu. Pozorně dodržovat bezpečnostní pokyny.</w:t>
      </w:r>
    </w:p>
    <w:p w:rsidR="00BB1226" w:rsidRPr="0068324C" w:rsidRDefault="00BB1226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Zachytit do kleští držáku elektrody vybranou elektrodu.</w:t>
      </w:r>
    </w:p>
    <w:p w:rsidR="00BB1226" w:rsidRPr="0068324C" w:rsidRDefault="00BB1226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Zapojit konektor uzemňovacího vodiče k záporné rychloupínací zásuvce a jeho skřipec – kontakt umístnit blízko svářeného předmětu.</w:t>
      </w:r>
    </w:p>
    <w:p w:rsidR="00BB1226" w:rsidRPr="0068324C" w:rsidRDefault="00BB1226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Zapojit konektor kleští držáku elektrody ke kladné spínací zásuvce</w:t>
      </w:r>
    </w:p>
    <w:p w:rsidR="00BB1226" w:rsidRPr="0068324C" w:rsidRDefault="00BB1226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POZOR: Výsledkem takto provedeného zapojení těchto dvou konektorů bude sváření s přímou polaritou, abyste dosáhli sváření s nepřímou polaritou, udělejte zapojení opačně: konektor uzemňovacího kabelu zapojte k pohotovostní kladné svorce (+) a konektor držáku s kleštěmi na uchycení elektrody k záporné svorce (-)</w:t>
      </w:r>
    </w:p>
    <w:p w:rsidR="007C3243" w:rsidRPr="0068324C" w:rsidRDefault="007C3243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Svářecí proud se reguluje pomocí </w:t>
      </w:r>
      <w:proofErr w:type="spellStart"/>
      <w:r w:rsidRPr="0068324C">
        <w:rPr>
          <w:sz w:val="12"/>
          <w:szCs w:val="12"/>
        </w:rPr>
        <w:t>enkoderu</w:t>
      </w:r>
      <w:proofErr w:type="spellEnd"/>
      <w:r w:rsidRPr="0068324C">
        <w:rPr>
          <w:sz w:val="12"/>
          <w:szCs w:val="12"/>
        </w:rPr>
        <w:t xml:space="preserve"> – ovladače na předním panelu.</w:t>
      </w:r>
    </w:p>
    <w:p w:rsidR="007C3243" w:rsidRPr="0068324C" w:rsidRDefault="007C3243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Zapněte generátor stlačením vypínače bod 1.</w:t>
      </w:r>
    </w:p>
    <w:p w:rsidR="00FA1E78" w:rsidRPr="0068324C" w:rsidRDefault="00FA1E78" w:rsidP="001C1D97">
      <w:pPr>
        <w:pStyle w:val="Odstavecseseznamem"/>
        <w:numPr>
          <w:ilvl w:val="0"/>
          <w:numId w:val="14"/>
        </w:numPr>
        <w:spacing w:line="240" w:lineRule="auto"/>
        <w:rPr>
          <w:sz w:val="12"/>
          <w:szCs w:val="12"/>
        </w:rPr>
      </w:pPr>
    </w:p>
    <w:p w:rsidR="007C3243" w:rsidRPr="0068324C" w:rsidRDefault="007C3243" w:rsidP="001C1D97">
      <w:pPr>
        <w:pStyle w:val="Odstavecseseznamem"/>
        <w:spacing w:line="240" w:lineRule="auto"/>
        <w:rPr>
          <w:sz w:val="12"/>
          <w:szCs w:val="12"/>
        </w:rPr>
      </w:pPr>
    </w:p>
    <w:p w:rsidR="00161B48" w:rsidRPr="00161B48" w:rsidRDefault="007C3243" w:rsidP="001C1D97">
      <w:pPr>
        <w:pStyle w:val="Odstavecseseznamem"/>
        <w:numPr>
          <w:ilvl w:val="1"/>
          <w:numId w:val="21"/>
        </w:numPr>
        <w:spacing w:line="240" w:lineRule="auto"/>
        <w:rPr>
          <w:sz w:val="12"/>
          <w:szCs w:val="12"/>
        </w:rPr>
      </w:pPr>
      <w:r w:rsidRPr="00161B48">
        <w:rPr>
          <w:b/>
          <w:sz w:val="12"/>
          <w:szCs w:val="12"/>
        </w:rPr>
        <w:t xml:space="preserve">Zapojení a příprava zařízení pro sváření </w:t>
      </w:r>
    </w:p>
    <w:p w:rsidR="007C3243" w:rsidRPr="00161B48" w:rsidRDefault="007C3243" w:rsidP="001C1D97">
      <w:pPr>
        <w:spacing w:line="240" w:lineRule="auto"/>
        <w:rPr>
          <w:sz w:val="12"/>
          <w:szCs w:val="12"/>
        </w:rPr>
      </w:pPr>
      <w:r w:rsidRPr="00161B48">
        <w:rPr>
          <w:sz w:val="12"/>
          <w:szCs w:val="12"/>
        </w:rPr>
        <w:t>Svářecí příslušenství zapojit přesně, aby se zabránilo ztrátám na výkonu anebo nebezpečným únikům plynů. Pozorně dodržovat bezpečnostní pokyny.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Namontovat na hořák držáku elektrody vybranou elektrodu a trysku vedení </w:t>
      </w:r>
      <w:proofErr w:type="gramStart"/>
      <w:r w:rsidRPr="0068324C">
        <w:rPr>
          <w:sz w:val="12"/>
          <w:szCs w:val="12"/>
        </w:rPr>
        <w:t>plynu(zkontrolujte</w:t>
      </w:r>
      <w:proofErr w:type="gramEnd"/>
      <w:r w:rsidRPr="0068324C">
        <w:rPr>
          <w:sz w:val="12"/>
          <w:szCs w:val="12"/>
        </w:rPr>
        <w:t xml:space="preserve"> přesah a stav hrotu elektrody)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Zapojit konektor kleští držáku elektrody ke kladné rychloupínací zásuvce </w:t>
      </w:r>
      <w:r w:rsidRPr="0068324C">
        <w:rPr>
          <w:b/>
          <w:sz w:val="12"/>
          <w:szCs w:val="12"/>
        </w:rPr>
        <w:t>+</w:t>
      </w:r>
      <w:r w:rsidRPr="0068324C">
        <w:rPr>
          <w:sz w:val="12"/>
          <w:szCs w:val="12"/>
        </w:rPr>
        <w:t xml:space="preserve"> kleště v blízkosti svářecího prostoru.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Zapojit konektor výkonového vodiče hořáku k záporné rychlo zásuvce </w:t>
      </w:r>
      <w:r w:rsidRPr="0068324C">
        <w:rPr>
          <w:b/>
          <w:sz w:val="12"/>
          <w:szCs w:val="12"/>
        </w:rPr>
        <w:t>–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Zapojte plynovou hadičku hořáku k přípojce na výstupu plynu z tlakové lahve.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Zapnout prosvětlený vypínač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Zkontrolujte, zda nedochází k úniku plynu</w:t>
      </w:r>
    </w:p>
    <w:p w:rsidR="007C3243" w:rsidRPr="0068324C" w:rsidRDefault="007C3243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Regulujte svářecí pro</w:t>
      </w:r>
      <w:r w:rsidR="00D2779B" w:rsidRPr="0068324C">
        <w:rPr>
          <w:sz w:val="11"/>
          <w:szCs w:val="11"/>
        </w:rPr>
        <w:t>u</w:t>
      </w:r>
      <w:r w:rsidR="00675585" w:rsidRPr="0068324C">
        <w:rPr>
          <w:sz w:val="12"/>
          <w:szCs w:val="12"/>
        </w:rPr>
        <w:t>d</w:t>
      </w:r>
      <w:r w:rsidRPr="0068324C">
        <w:rPr>
          <w:sz w:val="12"/>
          <w:szCs w:val="12"/>
        </w:rPr>
        <w:t>u pomocí potenciometru</w:t>
      </w:r>
    </w:p>
    <w:p w:rsidR="0021657B" w:rsidRPr="0068324C" w:rsidRDefault="0021657B" w:rsidP="001C1D97">
      <w:pPr>
        <w:pStyle w:val="Odstavecseseznamem"/>
        <w:numPr>
          <w:ilvl w:val="0"/>
          <w:numId w:val="15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Zkontrolujte výstup plynu a nastavte jeho průtok pomocí kohoutku na tlakové lahvi.</w:t>
      </w:r>
    </w:p>
    <w:p w:rsidR="0021657B" w:rsidRPr="0068324C" w:rsidRDefault="0021657B" w:rsidP="001C1D97">
      <w:pPr>
        <w:pStyle w:val="Odstavecseseznamem"/>
        <w:numPr>
          <w:ilvl w:val="0"/>
          <w:numId w:val="12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Elektrický oblouk zapálíte, jestli se na chvilku dotknete elektrodou předmětu, který chcete svářet</w:t>
      </w:r>
    </w:p>
    <w:p w:rsidR="0021657B" w:rsidRPr="0068324C" w:rsidRDefault="0021657B" w:rsidP="001C1D97">
      <w:pPr>
        <w:pStyle w:val="Odstavecseseznamem"/>
        <w:numPr>
          <w:ilvl w:val="0"/>
          <w:numId w:val="12"/>
        </w:numPr>
        <w:spacing w:line="240" w:lineRule="auto"/>
        <w:rPr>
          <w:sz w:val="12"/>
          <w:szCs w:val="12"/>
        </w:rPr>
      </w:pPr>
      <w:proofErr w:type="gramStart"/>
      <w:r w:rsidRPr="0068324C">
        <w:rPr>
          <w:sz w:val="12"/>
          <w:szCs w:val="12"/>
        </w:rPr>
        <w:t>POZOR  při</w:t>
      </w:r>
      <w:proofErr w:type="gramEnd"/>
      <w:r w:rsidRPr="0068324C">
        <w:rPr>
          <w:sz w:val="12"/>
          <w:szCs w:val="12"/>
        </w:rPr>
        <w:t xml:space="preserve"> práci venku nebo při náporech větru, chraňte přívod inertního plynu, který když je odkloněn, nemůže tvořit ochranné prostředí pro sváření.</w:t>
      </w:r>
    </w:p>
    <w:p w:rsidR="0021657B" w:rsidRPr="0068324C" w:rsidRDefault="0021657B" w:rsidP="001C1D97">
      <w:pPr>
        <w:pStyle w:val="Odstavecseseznamem"/>
        <w:spacing w:line="240" w:lineRule="auto"/>
        <w:rPr>
          <w:b/>
          <w:sz w:val="12"/>
          <w:szCs w:val="12"/>
        </w:rPr>
      </w:pPr>
    </w:p>
    <w:p w:rsidR="0021657B" w:rsidRPr="0068324C" w:rsidRDefault="0021657B" w:rsidP="001C1D97">
      <w:pPr>
        <w:pStyle w:val="Odstavecseseznamem"/>
        <w:numPr>
          <w:ilvl w:val="0"/>
          <w:numId w:val="21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Funkce</w:t>
      </w:r>
    </w:p>
    <w:p w:rsidR="0021657B" w:rsidRPr="0068324C" w:rsidRDefault="0021657B" w:rsidP="001C1D97">
      <w:pPr>
        <w:pStyle w:val="Odstavecseseznamem"/>
        <w:numPr>
          <w:ilvl w:val="1"/>
          <w:numId w:val="21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Přední – zadní panel</w:t>
      </w:r>
    </w:p>
    <w:p w:rsidR="0021657B" w:rsidRPr="0068324C" w:rsidRDefault="0021657B" w:rsidP="001C1D97">
      <w:pPr>
        <w:pStyle w:val="Odstavecseseznamem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Zapojte k záporné svorce </w:t>
      </w:r>
      <w:r w:rsidRPr="0068324C">
        <w:rPr>
          <w:b/>
          <w:sz w:val="12"/>
          <w:szCs w:val="12"/>
        </w:rPr>
        <w:t xml:space="preserve">– </w:t>
      </w:r>
      <w:r w:rsidRPr="0068324C">
        <w:rPr>
          <w:sz w:val="12"/>
          <w:szCs w:val="12"/>
        </w:rPr>
        <w:t>bod 3. zemnící kleště, které vedou k svářenému předmětu</w:t>
      </w:r>
    </w:p>
    <w:p w:rsidR="002E3AD4" w:rsidRPr="0068324C" w:rsidRDefault="0021657B" w:rsidP="001C1D97">
      <w:pPr>
        <w:pStyle w:val="Odstavecseseznamem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Zapojte k plusové svorce – bod 4. kabel držáku elektrod</w:t>
      </w:r>
    </w:p>
    <w:p w:rsidR="002E3AD4" w:rsidRPr="0068324C" w:rsidRDefault="002E3AD4" w:rsidP="001C1D97">
      <w:pPr>
        <w:pStyle w:val="Odstavecseseznamem"/>
        <w:numPr>
          <w:ilvl w:val="0"/>
          <w:numId w:val="12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 POZOR nesprávné kontakty těchto dvou zapojení by mohly způsobit ztráty na výkonu a přehřátí</w:t>
      </w:r>
    </w:p>
    <w:p w:rsidR="002E3AD4" w:rsidRPr="0068324C" w:rsidRDefault="002E3AD4" w:rsidP="001C1D97">
      <w:pPr>
        <w:pStyle w:val="Odstavecseseznamem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Pomocí nastavitelného ovladače na přední straně, nastavte výkon proudu potřebný ke sváření</w:t>
      </w:r>
    </w:p>
    <w:p w:rsidR="002E3AD4" w:rsidRPr="0068324C" w:rsidRDefault="002E3AD4" w:rsidP="001C1D97">
      <w:pPr>
        <w:pStyle w:val="Odstavecseseznamem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Prosvětlený vypínač se rozsvítí, když je generátor připraven na zahájení sváření.</w:t>
      </w:r>
    </w:p>
    <w:p w:rsidR="002E3AD4" w:rsidRPr="0068324C" w:rsidRDefault="002E3AD4" w:rsidP="001C1D97">
      <w:pPr>
        <w:pStyle w:val="Odstavecseseznamem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Zapnutí </w:t>
      </w:r>
      <w:proofErr w:type="gramStart"/>
      <w:r w:rsidRPr="0068324C">
        <w:rPr>
          <w:sz w:val="12"/>
          <w:szCs w:val="12"/>
        </w:rPr>
        <w:t>žluté  kontrolky</w:t>
      </w:r>
      <w:proofErr w:type="gramEnd"/>
      <w:r w:rsidRPr="0068324C">
        <w:rPr>
          <w:sz w:val="12"/>
          <w:szCs w:val="12"/>
        </w:rPr>
        <w:t>, která je na předním panelu, indikuje chybu, která brání v další činnosti zařízení.</w:t>
      </w:r>
    </w:p>
    <w:p w:rsidR="002E3AD4" w:rsidRPr="0068324C" w:rsidRDefault="002E3AD4" w:rsidP="001C1D97">
      <w:pPr>
        <w:pStyle w:val="Odstavecseseznamem"/>
        <w:numPr>
          <w:ilvl w:val="1"/>
          <w:numId w:val="12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Může dojít k přehřátí zařízení způsobené dlouhodobým používáním. V takovém případě přerušte sváření a nechte zapnutý </w:t>
      </w:r>
      <w:proofErr w:type="gramStart"/>
      <w:r w:rsidRPr="0068324C">
        <w:rPr>
          <w:sz w:val="12"/>
          <w:szCs w:val="12"/>
        </w:rPr>
        <w:t>generátor dokud</w:t>
      </w:r>
      <w:proofErr w:type="gramEnd"/>
      <w:r w:rsidRPr="0068324C">
        <w:rPr>
          <w:sz w:val="12"/>
          <w:szCs w:val="12"/>
        </w:rPr>
        <w:t xml:space="preserve"> kontrolka nezhasne.</w:t>
      </w:r>
    </w:p>
    <w:p w:rsidR="002E3AD4" w:rsidRPr="0068324C" w:rsidRDefault="002E3AD4" w:rsidP="001C1D97">
      <w:pPr>
        <w:pStyle w:val="Odstavecseseznamem"/>
        <w:numPr>
          <w:ilvl w:val="1"/>
          <w:numId w:val="12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 xml:space="preserve">Zvýšení/pokles napětí napájení. V takovém případě </w:t>
      </w:r>
      <w:proofErr w:type="gramStart"/>
      <w:r w:rsidRPr="0068324C">
        <w:rPr>
          <w:sz w:val="12"/>
          <w:szCs w:val="12"/>
        </w:rPr>
        <w:t>počkejte dokud</w:t>
      </w:r>
      <w:proofErr w:type="gramEnd"/>
      <w:r w:rsidRPr="0068324C">
        <w:rPr>
          <w:sz w:val="12"/>
          <w:szCs w:val="12"/>
        </w:rPr>
        <w:t xml:space="preserve"> nezhasne kontrolka, která signalizuje návrat napětí napájení na normální hodnoty, abyste mohli pokračovat ve sváření.</w:t>
      </w:r>
    </w:p>
    <w:p w:rsidR="002E3AD4" w:rsidRPr="0068324C" w:rsidRDefault="002E3AD4" w:rsidP="001C1D97">
      <w:pPr>
        <w:pStyle w:val="Odstavecseseznamem"/>
        <w:numPr>
          <w:ilvl w:val="0"/>
          <w:numId w:val="21"/>
        </w:num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Údržba</w:t>
      </w:r>
    </w:p>
    <w:p w:rsidR="002E3AD4" w:rsidRPr="0068324C" w:rsidRDefault="002E3AD4" w:rsidP="001C1D97">
      <w:pPr>
        <w:pStyle w:val="Odstavecseseznamem"/>
        <w:spacing w:line="240" w:lineRule="auto"/>
        <w:ind w:left="360"/>
        <w:rPr>
          <w:sz w:val="12"/>
          <w:szCs w:val="12"/>
        </w:rPr>
      </w:pPr>
      <w:r w:rsidRPr="0068324C">
        <w:rPr>
          <w:sz w:val="12"/>
          <w:szCs w:val="12"/>
        </w:rPr>
        <w:t>POZOR odpojte koncov</w:t>
      </w:r>
      <w:r w:rsidR="00675585" w:rsidRPr="0068324C">
        <w:rPr>
          <w:sz w:val="12"/>
          <w:szCs w:val="12"/>
        </w:rPr>
        <w:t>ku napájení a počkejte minimálně</w:t>
      </w:r>
      <w:r w:rsidRPr="0068324C">
        <w:rPr>
          <w:sz w:val="12"/>
          <w:szCs w:val="12"/>
        </w:rPr>
        <w:t xml:space="preserve"> 5 </w:t>
      </w:r>
      <w:proofErr w:type="gramStart"/>
      <w:r w:rsidRPr="0068324C">
        <w:rPr>
          <w:sz w:val="12"/>
          <w:szCs w:val="12"/>
        </w:rPr>
        <w:t>minut než</w:t>
      </w:r>
      <w:proofErr w:type="gramEnd"/>
      <w:r w:rsidRPr="0068324C">
        <w:rPr>
          <w:sz w:val="12"/>
          <w:szCs w:val="12"/>
        </w:rPr>
        <w:t xml:space="preserve"> začnete provádět úkony údržby. Čím častěji stroj používáte, tím pravidelněji provádějte jeho údržbu. Provádějte tuto údržbu minimálně jednou za 3 měsíce</w:t>
      </w:r>
    </w:p>
    <w:p w:rsidR="002E3AD4" w:rsidRPr="0068324C" w:rsidRDefault="002E3AD4" w:rsidP="001C1D97">
      <w:pPr>
        <w:pStyle w:val="Odstavecseseznamem"/>
        <w:numPr>
          <w:ilvl w:val="0"/>
          <w:numId w:val="17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Vyměňte nálepky, které jsou nečitelné.</w:t>
      </w:r>
    </w:p>
    <w:p w:rsidR="002E3AD4" w:rsidRPr="0068324C" w:rsidRDefault="002E3AD4" w:rsidP="001C1D97">
      <w:pPr>
        <w:pStyle w:val="Odstavecseseznamem"/>
        <w:numPr>
          <w:ilvl w:val="0"/>
          <w:numId w:val="17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Očistěte a dotáhněte koncové kusy sváření.</w:t>
      </w:r>
    </w:p>
    <w:p w:rsidR="002E3AD4" w:rsidRPr="0068324C" w:rsidRDefault="002E3AD4" w:rsidP="001C1D97">
      <w:pPr>
        <w:pStyle w:val="Odstavecseseznamem"/>
        <w:numPr>
          <w:ilvl w:val="0"/>
          <w:numId w:val="17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Vyměňte poškozené plynové hadičky.</w:t>
      </w:r>
    </w:p>
    <w:p w:rsidR="002E3AD4" w:rsidRPr="0068324C" w:rsidRDefault="002E3AD4" w:rsidP="001C1D97">
      <w:pPr>
        <w:pStyle w:val="Odstavecseseznamem"/>
        <w:numPr>
          <w:ilvl w:val="0"/>
          <w:numId w:val="17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Opravte nebo vyměňte poškozené svářecí vodiče.</w:t>
      </w:r>
    </w:p>
    <w:p w:rsidR="00DA0010" w:rsidRPr="0068324C" w:rsidRDefault="00675585" w:rsidP="001C1D97">
      <w:pPr>
        <w:pStyle w:val="Odstavecseseznamem"/>
        <w:numPr>
          <w:ilvl w:val="0"/>
          <w:numId w:val="17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Dejte vyměnit poškozený</w:t>
      </w:r>
      <w:r w:rsidR="002E3AD4" w:rsidRPr="0068324C">
        <w:rPr>
          <w:sz w:val="12"/>
          <w:szCs w:val="12"/>
        </w:rPr>
        <w:t xml:space="preserve"> napájecí vodič specializovanému oprávněnému pracovníkovi.</w:t>
      </w:r>
    </w:p>
    <w:p w:rsidR="00DA0010" w:rsidRPr="0068324C" w:rsidRDefault="00DA0010" w:rsidP="001C1D97">
      <w:pPr>
        <w:spacing w:line="240" w:lineRule="auto"/>
        <w:ind w:left="360"/>
        <w:rPr>
          <w:sz w:val="12"/>
          <w:szCs w:val="12"/>
        </w:rPr>
      </w:pPr>
      <w:r w:rsidRPr="0068324C">
        <w:rPr>
          <w:sz w:val="12"/>
          <w:szCs w:val="12"/>
        </w:rPr>
        <w:t>POZOR každých 6 měsíců proveďte tuto údržbu:</w:t>
      </w:r>
    </w:p>
    <w:p w:rsidR="00DA0010" w:rsidRPr="0068324C" w:rsidRDefault="00DA0010" w:rsidP="001C1D97">
      <w:pPr>
        <w:pStyle w:val="Odstavecseseznamem"/>
        <w:numPr>
          <w:ilvl w:val="0"/>
          <w:numId w:val="18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Očistěte od prachu vnitřek generátoru tak, že profouknete suchým vzduchem celý přístroj.</w:t>
      </w:r>
    </w:p>
    <w:p w:rsidR="00DA0010" w:rsidRPr="0068324C" w:rsidRDefault="00DA0010" w:rsidP="001C1D97">
      <w:pPr>
        <w:pStyle w:val="Odstavecseseznamem"/>
        <w:numPr>
          <w:ilvl w:val="0"/>
          <w:numId w:val="18"/>
        </w:numPr>
        <w:spacing w:line="240" w:lineRule="auto"/>
        <w:rPr>
          <w:sz w:val="12"/>
          <w:szCs w:val="12"/>
        </w:rPr>
      </w:pPr>
      <w:r w:rsidRPr="0068324C">
        <w:rPr>
          <w:sz w:val="12"/>
          <w:szCs w:val="12"/>
        </w:rPr>
        <w:t>Zvyšte počet čistění, když se pracuje ve velice prašném prostředí.</w:t>
      </w:r>
    </w:p>
    <w:p w:rsidR="00DA0010" w:rsidRPr="0068324C" w:rsidRDefault="00DA0010" w:rsidP="001C1D97">
      <w:pPr>
        <w:spacing w:line="240" w:lineRule="auto"/>
        <w:ind w:left="360"/>
        <w:rPr>
          <w:sz w:val="12"/>
          <w:szCs w:val="12"/>
        </w:rPr>
      </w:pPr>
      <w:r w:rsidRPr="0068324C">
        <w:rPr>
          <w:sz w:val="12"/>
          <w:szCs w:val="12"/>
        </w:rPr>
        <w:t xml:space="preserve">Při uplatňování záruční opravy je nutné se řídit záručními podmínkami. Bez jejich dodržení nebude nárok na záruční opravu uznán. Záruční list </w:t>
      </w:r>
      <w:proofErr w:type="gramStart"/>
      <w:r w:rsidRPr="0068324C">
        <w:rPr>
          <w:sz w:val="12"/>
          <w:szCs w:val="12"/>
        </w:rPr>
        <w:t>musí</w:t>
      </w:r>
      <w:proofErr w:type="gramEnd"/>
      <w:r w:rsidRPr="0068324C">
        <w:rPr>
          <w:sz w:val="12"/>
          <w:szCs w:val="12"/>
        </w:rPr>
        <w:t xml:space="preserve"> být řádně vyplněn jinak přístroj </w:t>
      </w:r>
      <w:proofErr w:type="gramStart"/>
      <w:r w:rsidRPr="0068324C">
        <w:rPr>
          <w:sz w:val="12"/>
          <w:szCs w:val="12"/>
        </w:rPr>
        <w:t>ztrácí</w:t>
      </w:r>
      <w:proofErr w:type="gramEnd"/>
      <w:r w:rsidRPr="0068324C">
        <w:rPr>
          <w:sz w:val="12"/>
          <w:szCs w:val="12"/>
        </w:rPr>
        <w:t xml:space="preserve"> nárok na záruku.</w:t>
      </w:r>
    </w:p>
    <w:p w:rsidR="00531CFA" w:rsidRDefault="00675585" w:rsidP="001C1D97">
      <w:p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t>Ujištění o shodě:</w:t>
      </w:r>
    </w:p>
    <w:p w:rsidR="00531CFA" w:rsidRDefault="00621D37" w:rsidP="001C1D97">
      <w:pPr>
        <w:spacing w:line="240" w:lineRule="auto"/>
        <w:rPr>
          <w:b/>
          <w:sz w:val="12"/>
          <w:szCs w:val="12"/>
        </w:rPr>
      </w:pPr>
      <w:r w:rsidRPr="0068324C">
        <w:rPr>
          <w:sz w:val="12"/>
          <w:szCs w:val="12"/>
        </w:rPr>
        <w:t xml:space="preserve">Na výrobek je vystaveno prohlášení o shodě dle EU směrnic EN 60974-10:2003, EN 55011:1998+A1:1999+A2:2002. Tento výrobek splňuje EU normy EMC 89/336/EEC a LVD 73/23/EEC. Certifikace vystavila EU notifikovaná kancelář.  </w:t>
      </w:r>
      <w:r w:rsidR="00FB29D0" w:rsidRPr="0068324C">
        <w:rPr>
          <w:sz w:val="12"/>
          <w:szCs w:val="12"/>
        </w:rPr>
        <w:t xml:space="preserve">Výrobek splňuje požadavky zákona 168/1997 </w:t>
      </w:r>
      <w:proofErr w:type="spellStart"/>
      <w:r w:rsidR="00FB29D0" w:rsidRPr="0068324C">
        <w:rPr>
          <w:sz w:val="12"/>
          <w:szCs w:val="12"/>
        </w:rPr>
        <w:t>Sb</w:t>
      </w:r>
      <w:proofErr w:type="spellEnd"/>
      <w:r w:rsidR="00FB29D0" w:rsidRPr="0068324C">
        <w:rPr>
          <w:sz w:val="12"/>
          <w:szCs w:val="12"/>
        </w:rPr>
        <w:t xml:space="preserve">, 169/1997 </w:t>
      </w:r>
      <w:proofErr w:type="spellStart"/>
      <w:r w:rsidR="00FB29D0" w:rsidRPr="0068324C">
        <w:rPr>
          <w:sz w:val="12"/>
          <w:szCs w:val="12"/>
        </w:rPr>
        <w:t>Sb</w:t>
      </w:r>
      <w:proofErr w:type="spellEnd"/>
      <w:r w:rsidR="00FB29D0" w:rsidRPr="0068324C">
        <w:rPr>
          <w:sz w:val="12"/>
          <w:szCs w:val="12"/>
        </w:rPr>
        <w:t xml:space="preserve"> a nařízení vlády 17/2003, 18/2003, 24/2003.</w:t>
      </w:r>
    </w:p>
    <w:p w:rsidR="00675585" w:rsidRPr="00531CFA" w:rsidRDefault="0021657B" w:rsidP="001C1D97">
      <w:pPr>
        <w:spacing w:line="240" w:lineRule="auto"/>
        <w:rPr>
          <w:b/>
          <w:sz w:val="12"/>
          <w:szCs w:val="12"/>
        </w:rPr>
      </w:pPr>
      <w:r w:rsidRPr="0068324C">
        <w:rPr>
          <w:sz w:val="12"/>
          <w:szCs w:val="12"/>
        </w:rPr>
        <w:t xml:space="preserve"> </w:t>
      </w:r>
      <w:r w:rsidR="0012705D" w:rsidRPr="0068324C">
        <w:rPr>
          <w:sz w:val="12"/>
          <w:szCs w:val="12"/>
        </w:rPr>
        <w:t xml:space="preserve">Dovozce prohlašuje, že je v registru společností plnící povinnost zpětného odběru, odděleného sběru, zpracování, využití a odstranění </w:t>
      </w:r>
      <w:proofErr w:type="spellStart"/>
      <w:r w:rsidR="0012705D" w:rsidRPr="0068324C">
        <w:rPr>
          <w:sz w:val="12"/>
          <w:szCs w:val="12"/>
        </w:rPr>
        <w:t>elektrozařízení</w:t>
      </w:r>
      <w:proofErr w:type="spellEnd"/>
      <w:r w:rsidR="0012705D" w:rsidRPr="0068324C">
        <w:rPr>
          <w:sz w:val="12"/>
          <w:szCs w:val="12"/>
        </w:rPr>
        <w:t xml:space="preserve"> a </w:t>
      </w:r>
      <w:proofErr w:type="spellStart"/>
      <w:r w:rsidR="0012705D" w:rsidRPr="0068324C">
        <w:rPr>
          <w:sz w:val="12"/>
          <w:szCs w:val="12"/>
        </w:rPr>
        <w:t>elektroodpadu</w:t>
      </w:r>
      <w:proofErr w:type="spellEnd"/>
      <w:r w:rsidR="0012705D" w:rsidRPr="0068324C">
        <w:rPr>
          <w:sz w:val="12"/>
          <w:szCs w:val="12"/>
        </w:rPr>
        <w:t xml:space="preserve"> REMA.</w:t>
      </w:r>
    </w:p>
    <w:p w:rsidR="000E233F" w:rsidRPr="00D006A1" w:rsidRDefault="00DA0010" w:rsidP="001C1D97">
      <w:pPr>
        <w:spacing w:line="240" w:lineRule="auto"/>
        <w:rPr>
          <w:b/>
          <w:sz w:val="11"/>
          <w:szCs w:val="11"/>
        </w:rPr>
      </w:pPr>
      <w:r w:rsidRPr="0068324C">
        <w:rPr>
          <w:b/>
          <w:sz w:val="12"/>
          <w:szCs w:val="12"/>
        </w:rPr>
        <w:t>Odborné opravy a servis zajišťuje:</w:t>
      </w:r>
      <w:r w:rsidR="00531CFA">
        <w:rPr>
          <w:b/>
          <w:sz w:val="12"/>
          <w:szCs w:val="12"/>
        </w:rPr>
        <w:t xml:space="preserve"> </w:t>
      </w:r>
      <w:r w:rsidR="00E2031D">
        <w:rPr>
          <w:b/>
          <w:sz w:val="12"/>
          <w:szCs w:val="12"/>
        </w:rPr>
        <w:t xml:space="preserve">   </w:t>
      </w:r>
      <w:r w:rsidR="00531CFA">
        <w:rPr>
          <w:b/>
          <w:sz w:val="12"/>
          <w:szCs w:val="12"/>
        </w:rPr>
        <w:t>PHT a.</w:t>
      </w:r>
      <w:r w:rsidR="00E2031D">
        <w:rPr>
          <w:b/>
          <w:sz w:val="12"/>
          <w:szCs w:val="12"/>
        </w:rPr>
        <w:t>s., www.magg.cz</w:t>
      </w:r>
    </w:p>
    <w:p w:rsidR="00DA0010" w:rsidRPr="0068324C" w:rsidRDefault="00DA0010" w:rsidP="001C1D97">
      <w:pPr>
        <w:spacing w:line="240" w:lineRule="auto"/>
        <w:rPr>
          <w:b/>
          <w:sz w:val="12"/>
          <w:szCs w:val="12"/>
        </w:rPr>
      </w:pPr>
      <w:r w:rsidRPr="0068324C">
        <w:rPr>
          <w:b/>
          <w:sz w:val="12"/>
          <w:szCs w:val="12"/>
        </w:rPr>
        <w:lastRenderedPageBreak/>
        <w:t>Dovozce</w:t>
      </w:r>
      <w:r w:rsidR="00AA068B" w:rsidRPr="0068324C">
        <w:rPr>
          <w:b/>
          <w:sz w:val="12"/>
          <w:szCs w:val="12"/>
        </w:rPr>
        <w:t xml:space="preserve">: </w:t>
      </w:r>
      <w:r w:rsidRPr="0068324C">
        <w:rPr>
          <w:sz w:val="12"/>
          <w:szCs w:val="12"/>
        </w:rPr>
        <w:t xml:space="preserve">PHT a. s., </w:t>
      </w:r>
      <w:r w:rsidR="00AA068B" w:rsidRPr="0068324C">
        <w:rPr>
          <w:sz w:val="12"/>
          <w:szCs w:val="12"/>
        </w:rPr>
        <w:t>www.magg.cz</w:t>
      </w:r>
      <w:r w:rsidR="00AA068B" w:rsidRPr="0068324C">
        <w:rPr>
          <w:noProof/>
          <w:sz w:val="12"/>
          <w:szCs w:val="12"/>
          <w:lang w:eastAsia="cs-CZ"/>
        </w:rPr>
        <w:t xml:space="preserve">                   </w:t>
      </w:r>
      <w:r w:rsidR="00AA068B" w:rsidRPr="0068324C">
        <w:rPr>
          <w:noProof/>
          <w:sz w:val="12"/>
          <w:szCs w:val="12"/>
          <w:lang w:eastAsia="cs-CZ"/>
        </w:rPr>
        <w:drawing>
          <wp:inline distT="0" distB="0" distL="0" distR="0">
            <wp:extent cx="641074" cy="342900"/>
            <wp:effectExtent l="19050" t="0" r="6626" b="0"/>
            <wp:docPr id="21" name="Obrázek 20" descr="E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406" cy="34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68B" w:rsidRPr="0068324C">
        <w:rPr>
          <w:noProof/>
          <w:sz w:val="12"/>
          <w:szCs w:val="12"/>
          <w:lang w:eastAsia="cs-CZ"/>
        </w:rPr>
        <w:t xml:space="preserve">            </w:t>
      </w:r>
      <w:r w:rsidR="00AA068B" w:rsidRPr="0068324C">
        <w:rPr>
          <w:noProof/>
          <w:sz w:val="12"/>
          <w:szCs w:val="12"/>
          <w:lang w:eastAsia="cs-CZ"/>
        </w:rPr>
        <w:drawing>
          <wp:inline distT="0" distB="0" distL="0" distR="0">
            <wp:extent cx="646405" cy="285750"/>
            <wp:effectExtent l="19050" t="0" r="1295" b="0"/>
            <wp:docPr id="22" name="Obrázek 21" descr="roh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s_logo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68B" w:rsidRPr="0068324C">
        <w:rPr>
          <w:noProof/>
          <w:sz w:val="12"/>
          <w:szCs w:val="12"/>
          <w:lang w:eastAsia="cs-CZ"/>
        </w:rPr>
        <w:t xml:space="preserve">       </w:t>
      </w:r>
      <w:r w:rsidR="00F81C80" w:rsidRPr="0068324C">
        <w:rPr>
          <w:noProof/>
          <w:sz w:val="12"/>
          <w:szCs w:val="12"/>
          <w:lang w:eastAsia="cs-CZ"/>
        </w:rPr>
        <w:drawing>
          <wp:inline distT="0" distB="0" distL="0" distR="0">
            <wp:extent cx="457200" cy="343021"/>
            <wp:effectExtent l="19050" t="0" r="0" b="0"/>
            <wp:docPr id="10" name="Obrázek 9" descr="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-Logo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06" cy="3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68B" w:rsidRPr="0068324C">
        <w:rPr>
          <w:noProof/>
          <w:sz w:val="12"/>
          <w:szCs w:val="12"/>
          <w:lang w:eastAsia="cs-CZ"/>
        </w:rPr>
        <w:t xml:space="preserve">    </w:t>
      </w:r>
      <w:r w:rsidR="00F81C80" w:rsidRPr="0068324C">
        <w:rPr>
          <w:noProof/>
          <w:sz w:val="12"/>
          <w:szCs w:val="12"/>
          <w:lang w:eastAsia="cs-CZ"/>
        </w:rPr>
        <w:drawing>
          <wp:inline distT="0" distB="0" distL="0" distR="0">
            <wp:extent cx="1093680" cy="409696"/>
            <wp:effectExtent l="19050" t="0" r="0" b="0"/>
            <wp:docPr id="11" name="Obrázek 10" descr="značky 3x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čky 3x jpg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06" cy="4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C80" w:rsidRPr="0068324C">
        <w:rPr>
          <w:noProof/>
          <w:sz w:val="12"/>
          <w:szCs w:val="12"/>
          <w:lang w:eastAsia="cs-CZ"/>
        </w:rPr>
        <w:drawing>
          <wp:inline distT="0" distB="0" distL="0" distR="0">
            <wp:extent cx="1264127" cy="666750"/>
            <wp:effectExtent l="19050" t="0" r="0" b="0"/>
            <wp:docPr id="12" name="Obrázek 11" descr="02.safety 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safety symbols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2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0010" w:rsidRPr="0068324C" w:rsidSect="00F81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CF" w:rsidRDefault="00E73BCF" w:rsidP="00531CFA">
      <w:pPr>
        <w:spacing w:after="0" w:line="240" w:lineRule="auto"/>
      </w:pPr>
      <w:r>
        <w:separator/>
      </w:r>
    </w:p>
  </w:endnote>
  <w:endnote w:type="continuationSeparator" w:id="0">
    <w:p w:rsidR="00E73BCF" w:rsidRDefault="00E73BCF" w:rsidP="0053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CF" w:rsidRDefault="00E73BCF" w:rsidP="00531CFA">
      <w:pPr>
        <w:spacing w:after="0" w:line="240" w:lineRule="auto"/>
      </w:pPr>
      <w:r>
        <w:separator/>
      </w:r>
    </w:p>
  </w:footnote>
  <w:footnote w:type="continuationSeparator" w:id="0">
    <w:p w:rsidR="00E73BCF" w:rsidRDefault="00E73BCF" w:rsidP="0053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584"/>
    <w:multiLevelType w:val="hybridMultilevel"/>
    <w:tmpl w:val="BA329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33F4"/>
    <w:multiLevelType w:val="hybridMultilevel"/>
    <w:tmpl w:val="FBDA9B1A"/>
    <w:lvl w:ilvl="0" w:tplc="ACDE57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5024D4"/>
    <w:multiLevelType w:val="hybridMultilevel"/>
    <w:tmpl w:val="97F07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35A4D"/>
    <w:multiLevelType w:val="hybridMultilevel"/>
    <w:tmpl w:val="11683F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8530C"/>
    <w:multiLevelType w:val="hybridMultilevel"/>
    <w:tmpl w:val="0AFE34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251"/>
    <w:multiLevelType w:val="multilevel"/>
    <w:tmpl w:val="2258E19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23E96AEA"/>
    <w:multiLevelType w:val="hybridMultilevel"/>
    <w:tmpl w:val="2BC47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5C7F"/>
    <w:multiLevelType w:val="multilevel"/>
    <w:tmpl w:val="F60CE1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C5C0261"/>
    <w:multiLevelType w:val="multilevel"/>
    <w:tmpl w:val="F60CE1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383578E8"/>
    <w:multiLevelType w:val="hybridMultilevel"/>
    <w:tmpl w:val="7736B04E"/>
    <w:lvl w:ilvl="0" w:tplc="4C2C8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00325"/>
    <w:multiLevelType w:val="hybridMultilevel"/>
    <w:tmpl w:val="24982160"/>
    <w:lvl w:ilvl="0" w:tplc="4CACDD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0A1547"/>
    <w:multiLevelType w:val="hybridMultilevel"/>
    <w:tmpl w:val="1D9EA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16F13"/>
    <w:multiLevelType w:val="hybridMultilevel"/>
    <w:tmpl w:val="BDAAA30C"/>
    <w:lvl w:ilvl="0" w:tplc="37E26B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3760E"/>
    <w:multiLevelType w:val="hybridMultilevel"/>
    <w:tmpl w:val="3CACE452"/>
    <w:lvl w:ilvl="0" w:tplc="EFE26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3023C9"/>
    <w:multiLevelType w:val="hybridMultilevel"/>
    <w:tmpl w:val="46C8BCE4"/>
    <w:lvl w:ilvl="0" w:tplc="5F84DB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771"/>
    <w:multiLevelType w:val="hybridMultilevel"/>
    <w:tmpl w:val="03589FF8"/>
    <w:lvl w:ilvl="0" w:tplc="11D20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96B7B"/>
    <w:multiLevelType w:val="multilevel"/>
    <w:tmpl w:val="3F980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7">
    <w:nsid w:val="5E7A31D5"/>
    <w:multiLevelType w:val="hybridMultilevel"/>
    <w:tmpl w:val="0A1C4B5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F1B9B"/>
    <w:multiLevelType w:val="hybridMultilevel"/>
    <w:tmpl w:val="A01037A6"/>
    <w:lvl w:ilvl="0" w:tplc="355EA8B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3347C"/>
    <w:multiLevelType w:val="multilevel"/>
    <w:tmpl w:val="8F564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24" w:hanging="1080"/>
      </w:pPr>
      <w:rPr>
        <w:rFonts w:hint="default"/>
      </w:rPr>
    </w:lvl>
  </w:abstractNum>
  <w:abstractNum w:abstractNumId="20">
    <w:nsid w:val="6DA35C47"/>
    <w:multiLevelType w:val="hybridMultilevel"/>
    <w:tmpl w:val="12CA33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4"/>
  </w:num>
  <w:num w:numId="9">
    <w:abstractNumId w:val="17"/>
  </w:num>
  <w:num w:numId="10">
    <w:abstractNumId w:val="10"/>
  </w:num>
  <w:num w:numId="11">
    <w:abstractNumId w:val="5"/>
  </w:num>
  <w:num w:numId="12">
    <w:abstractNumId w:val="18"/>
  </w:num>
  <w:num w:numId="13">
    <w:abstractNumId w:val="8"/>
  </w:num>
  <w:num w:numId="14">
    <w:abstractNumId w:val="6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7"/>
  </w:num>
  <w:num w:numId="20">
    <w:abstractNumId w:val="1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570"/>
    <w:rsid w:val="0008608A"/>
    <w:rsid w:val="00093C04"/>
    <w:rsid w:val="000A3E73"/>
    <w:rsid w:val="000C5C5E"/>
    <w:rsid w:val="000D1458"/>
    <w:rsid w:val="000E233F"/>
    <w:rsid w:val="000E25A8"/>
    <w:rsid w:val="0012705D"/>
    <w:rsid w:val="00141391"/>
    <w:rsid w:val="00150BEC"/>
    <w:rsid w:val="00161B48"/>
    <w:rsid w:val="00172CA2"/>
    <w:rsid w:val="001B06AC"/>
    <w:rsid w:val="001B4F61"/>
    <w:rsid w:val="001C1D97"/>
    <w:rsid w:val="001E36F9"/>
    <w:rsid w:val="0020070C"/>
    <w:rsid w:val="0021657B"/>
    <w:rsid w:val="00230CD6"/>
    <w:rsid w:val="002948B6"/>
    <w:rsid w:val="002C5C18"/>
    <w:rsid w:val="002E3AD4"/>
    <w:rsid w:val="002E64F6"/>
    <w:rsid w:val="002F18E3"/>
    <w:rsid w:val="00395A9B"/>
    <w:rsid w:val="003A395D"/>
    <w:rsid w:val="00425FA5"/>
    <w:rsid w:val="004636D4"/>
    <w:rsid w:val="004C409F"/>
    <w:rsid w:val="004C70AF"/>
    <w:rsid w:val="004F6CD0"/>
    <w:rsid w:val="00515FF7"/>
    <w:rsid w:val="00531CFA"/>
    <w:rsid w:val="00545570"/>
    <w:rsid w:val="005C325D"/>
    <w:rsid w:val="00603764"/>
    <w:rsid w:val="006118EE"/>
    <w:rsid w:val="00621D37"/>
    <w:rsid w:val="00643226"/>
    <w:rsid w:val="006446D7"/>
    <w:rsid w:val="00672C9B"/>
    <w:rsid w:val="00675585"/>
    <w:rsid w:val="00675835"/>
    <w:rsid w:val="0068070E"/>
    <w:rsid w:val="0068324C"/>
    <w:rsid w:val="00685B9F"/>
    <w:rsid w:val="00691C29"/>
    <w:rsid w:val="006921B4"/>
    <w:rsid w:val="006F4D25"/>
    <w:rsid w:val="00704F4D"/>
    <w:rsid w:val="00747103"/>
    <w:rsid w:val="00775933"/>
    <w:rsid w:val="00777C21"/>
    <w:rsid w:val="007C1A5B"/>
    <w:rsid w:val="007C3243"/>
    <w:rsid w:val="008118F3"/>
    <w:rsid w:val="00814EB9"/>
    <w:rsid w:val="00860CD1"/>
    <w:rsid w:val="00873CA1"/>
    <w:rsid w:val="008854CA"/>
    <w:rsid w:val="00903DAF"/>
    <w:rsid w:val="0090565C"/>
    <w:rsid w:val="009767FD"/>
    <w:rsid w:val="009B34B2"/>
    <w:rsid w:val="009B7FFB"/>
    <w:rsid w:val="009D7169"/>
    <w:rsid w:val="00A0285F"/>
    <w:rsid w:val="00A956C9"/>
    <w:rsid w:val="00AA068B"/>
    <w:rsid w:val="00B318A7"/>
    <w:rsid w:val="00BA6578"/>
    <w:rsid w:val="00BB1226"/>
    <w:rsid w:val="00BB5276"/>
    <w:rsid w:val="00BD4676"/>
    <w:rsid w:val="00C0622B"/>
    <w:rsid w:val="00C1168F"/>
    <w:rsid w:val="00C44B1D"/>
    <w:rsid w:val="00C809C1"/>
    <w:rsid w:val="00CA5FF0"/>
    <w:rsid w:val="00CA6D33"/>
    <w:rsid w:val="00CE1306"/>
    <w:rsid w:val="00CF7895"/>
    <w:rsid w:val="00D006A1"/>
    <w:rsid w:val="00D100EB"/>
    <w:rsid w:val="00D2779B"/>
    <w:rsid w:val="00D72C38"/>
    <w:rsid w:val="00D74DA3"/>
    <w:rsid w:val="00DA0010"/>
    <w:rsid w:val="00DB2EC1"/>
    <w:rsid w:val="00E03AF4"/>
    <w:rsid w:val="00E2031D"/>
    <w:rsid w:val="00E73BCF"/>
    <w:rsid w:val="00EA490B"/>
    <w:rsid w:val="00ED4BDA"/>
    <w:rsid w:val="00F35A79"/>
    <w:rsid w:val="00F525F7"/>
    <w:rsid w:val="00F600E1"/>
    <w:rsid w:val="00F81C80"/>
    <w:rsid w:val="00FA1E78"/>
    <w:rsid w:val="00FB29D0"/>
    <w:rsid w:val="00FD626F"/>
    <w:rsid w:val="00FE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8F3"/>
  </w:style>
  <w:style w:type="paragraph" w:styleId="Nadpis1">
    <w:name w:val="heading 1"/>
    <w:basedOn w:val="Normln"/>
    <w:next w:val="Normln"/>
    <w:link w:val="Nadpis1Char"/>
    <w:uiPriority w:val="9"/>
    <w:qFormat/>
    <w:rsid w:val="00086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5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4B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86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85B9F"/>
    <w:rPr>
      <w:color w:val="0000FF" w:themeColor="hyperlink"/>
      <w:u w:val="single"/>
    </w:rPr>
  </w:style>
  <w:style w:type="table" w:styleId="Mkatabulky">
    <w:name w:val="Table Grid"/>
    <w:basedOn w:val="Normlntabulka"/>
    <w:rsid w:val="00161B4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3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1CFA"/>
  </w:style>
  <w:style w:type="paragraph" w:styleId="Zpat">
    <w:name w:val="footer"/>
    <w:basedOn w:val="Normln"/>
    <w:link w:val="ZpatChar"/>
    <w:uiPriority w:val="99"/>
    <w:semiHidden/>
    <w:unhideWhenUsed/>
    <w:rsid w:val="0053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1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D6F5-FA97-4D04-A714-80AD5749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</cp:lastModifiedBy>
  <cp:revision>7</cp:revision>
  <cp:lastPrinted>2010-05-26T12:25:00Z</cp:lastPrinted>
  <dcterms:created xsi:type="dcterms:W3CDTF">2010-10-04T09:37:00Z</dcterms:created>
  <dcterms:modified xsi:type="dcterms:W3CDTF">2011-08-05T15:32:00Z</dcterms:modified>
</cp:coreProperties>
</file>